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b/>
          <w:sz w:val="36"/>
          <w:szCs w:val="36"/>
        </w:rPr>
        <w:t xml:space="preserve">{denomination}</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8"/>
          <w:szCs w:val="28"/>
        </w:rPr>
        <w:t xml:space="preserve">Société en Nom Collectif</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Au capital de {capital} {devise}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Siège social : {siege_social}, {ville}, {pays}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b/>
          <w:sz w:val="36"/>
          <w:szCs w:val="36"/>
        </w:rPr>
        <w:t xml:space="preserve">STATUTS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Établis le {date_signature}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r>
        <w:br w:type="page"/>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STATUTS - SOCIÉTÉ EN NOM COLLECTIF</w:t>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 SNC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Entre les soussignés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 né(e) le {date_naissance} à {lieu_naissance}, de nationalité {nationalite}, {profession}, demeurant à {adresse}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établi ainsi qu’il suit les statuts de la société en nom collectif devant exister entre eux.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Tous les associés ont la qualité de commerçant et répondent indéfiniment et solidairement des dettes sociales.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premier : Forme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formé entre les soussignés une société en nom collectif qui sera régie par l’Acte Uniforme de l’OHADA relatif au droit des sociétés commerciales et du GIE, et par toutes autres dispositions légales et réglementaires complémentaires ou modificatives et par les présents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Tous les associés ont la qualité de commerçant et répondent indéfiniment et solidairement des dettes sociales.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 : Objet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pour objet, {objet_social}.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Et, généralement, toutes opérations financières, commerciales, industrielles, mobilières et immobilières, pouvant se rattacher directement ou indirectement à l’objet ci-dessus ou à tous objets similaires ou connexes.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3 : Dénomination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pour dénomination sociale « {denomination}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dénomination sociale doit figurer sur tous les actes et documents émanant de la société et destinés aux tiers. Elle doit être précédée ou suivie immédiatement de la mention « Société en Nom Collectif » ou du sigle « SNC », du montant de son capital social, de l’adresse de son siège social et de la mention de son immatriculation au registre du commerce et du crédit mobilier.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4 : Siège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siège social est fixé à {siege_social}, {ville}, {pays}.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peut être transféré en tout autre lieu par décision unanime des associés.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5 : Durée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durée de la société est de {duree} années, sauf dissolution anticipée ou prorogation.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6 : 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Lors de la constitution, les soussignés font apport à la société, savoir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{civilite} {prenom} {nom} : FCFA {apport}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Total des apports : FCFA {total_apports}.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Apports en nature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apports en nature ont été évalués à l’unanimité des associés conformément aux dispositions légales.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{#has_apports_industrie}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Apports en industrie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apports en industrie ne concourent pas à la formation du capital social mais donnent lieu à l’attribution de parts sociales. L’apporteur en industrie s’engage à réserver l’exclusivité de son activité à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{/has_apports_industrie}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7 :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est fixé à la somme de {capital} {devise} ({capital_lettres} francs CFA), divisé en {nombre_parts} parts de {valeur_nominale} {devise} chacune, attribuées aux associés, savoir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À {civilite} {prenom} {nom}, à concurrence de {parts} parts, numérotées de {numero_debut} à {numero_fin}, en rémunération de son apport en {type_apport} ci-dessus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Égal au nombre de parts composant le capital social : {nombre_parts} parts.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8 : Modification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peut être augmenté ou réduit par décision unanime des associés, dans les conditions prévues par l’Acte Uniforme.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9 : Représentation des parts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parts sociales ne peuvent être représentées par des titres négociables. Les droits de chaque associé dans la société résultent des statuts, des actes modificatifs ultérieurs et des cessions de parts régulièrement notifiées et publiées.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10 : Transmission des parts sociales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1. Cession entre vifs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parts sociales ne peuvent être cédées qu’avec le consentement unanime de tous les associés. Toute cession doit être constatée par écrit.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cession n’est opposable à la société qu’après signification à la société ou acceptation de la cession dans un acte authentique, ou dépôt d’un original de l’acte de cession au siège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2. Transmission par décès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prend fin par le décès de l’un des associés, à moins que les statuts ne prévoient la continuation de la société soit avec les associés survivants, soit avec un ou plusieurs héritiers ou tout tiers désigné par les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cas de continuation avec les associés survivants, les héritiers auront droit à la valeur des parts sociales de leur auteur évaluées au jour du décès.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11 : Liquidation judiciaire d’un associé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prend fin par la liquidation judiciaire de l’un des associés, à moins que les autres associés ne décident la continuation de la société entre eux.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12 : Indivisibilité des parts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Chaque part est indivisible à l’égard de la société. Les copropriétaires indivis de parts sociales doivent se faire représenter par un mandataire unique choisi parmi eux ou en dehors d’eux.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13 : Droits et obligations des associés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1. Bénéfices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Chaque associé participe aux bénéfices et contribue aux pertes proportionnellement au nombre de parts qu’il possède, sauf stipulation contraire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2. Approbation des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comptes de chaque exercice sont soumis à l’approbation de tous les associés dans les six mois de la clôture de l’exercice.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3. Droit d’information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Chaque associé a le droit d’obtenir communication des livres et documents sociaux et de poser des questions par écrit au gérant.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4. Adhésion aux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Chaque associé adhère sans réserve aux présents statuts, et notamment aux clauses relatives à la responsabilité solidaire et indéfinie.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5. Obligation au passif</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associés répondent indéfiniment et solidairement des dettes sociales. Les créanciers de la société ne peuvent poursuivre le paiement des dettes sociales contre un associé qu’après mise en demeure adressée à la société restée sans effet.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6. Non-concurrence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Aucun associé ne peut, sans le consentement unanime des autres associés, exercer une activité concurrente de celle de la société, que ce soit pour son compte ou pour le compte d’un tiers.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14 : Gérance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1. Nomination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est gérée par un ou plusieurs gérants, personnes physiques, choisis parmi les associés ou en dehors d’eux. Est nommé gérant de la société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{gerant_civilite} {gerant_prenom} {gerant_nom}, né(e) le {gerant_date_naissance} à {gerant_lieu_naissance}, de nationalité {gerant_nationalite}, demeurant à {gerant_adresse}, qui accepte.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2. Durée du mandat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gérant est nommé pour une durée de {gerant_duree_mandat}. Il est toujours rééligible.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3. Révocation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gérant statutaire ne peut être révoqué qu’à l’unanimité des autres associés, à moins d’une décision judiciaire pour cause légitime. La révocation d’un gérant statutaire associé entraîne la dissolution de la société, à moins que sa continuation ne soit prévue par les statuts ou décidée à l’unanimité des autres associés.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gérant non statutaire est révocable dans les conditions prévues par les statuts ou, à défaut, par décision unanime des associés.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4. Démission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gérant peut démissionner de son mandat en prévenant chacun des associés au moins trois mois à l’avance par lettre recommandée.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5. Pouvoirs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Dans les rapports entre associés, le gérant peut faire tous les actes de gestion dans l’intérêt de la société. En cas de pluralité de gérants, chacun détient séparément le pouvoir de faire tout acte de gestion dans l’intérêt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Dans les rapports avec les tiers, le gérant engage la société par les actes entrant dans l’objet social. Les clauses statutaires limitant les pouvoirs du gérant sont inopposables aux tiers.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6. Rémunération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rémunération du gérant est {gerant_remuneration}.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7. Responsabilité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gérants sont responsables individuellement ou solidairement envers la société ou envers les tiers, soit des infractions aux dispositions législatives ou réglementaires applicables, soit des violations des statuts, soit des fautes commises dans leur gestion.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15 : Exercice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L’exercice social commence le {exercice_debut} et se termine le {exercice_fin} de chaque année. Par exception, le premier exercice sera clos le {premier_exercice_fin}.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16 : Décisions collectives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décisions qui excèdent les pouvoirs du gérant sont prises à l’unanimité des associés, sauf disposition légale contraire.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modification des statuts ne peut être décidée qu’à l’unanimité des associés.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17 : Assemblées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associés se réunissent en assemblée sur convocation du gérant, ou de tout associé. La convocation est faite par lettre recommandée avec demande d’avis de réception adressée à chacun des associés quinze jours au moins avant la réunion.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décisions peuvent également être prises par consultation écrite.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18 : Comptes sociaux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la clôture de chaque exercice, le gérant établit et arrête les états financiers de synthèse. Il établit un rapport de gestion.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Une assemblée générale appelée à statuer sur les comptes de l’exercice écoulé doit être réunie chaque année dans les six mois de la clôture de l’exercice.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19 : Affectation des résultats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Après approbation des comptes et constatation de l’existence d’un bénéfice distribuable, l’assemblée générale détermine la part attribuée aux associés sous forme de dividende.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pratiqué sur le bénéfice de l’exercice, diminué des pertes antérieures, une dotation égale à un dixième au moins affectée à la réserve légale. Cette dotation cesse d’être obligatoire lorsque la réserve atteint le cinquième du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20 : Comptes courants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associés peuvent laisser ou mettre à disposition de la société toutes sommes dont celle-ci peut avoir besoin. Les conditions de retrait ou de remboursement de ces sommes, ainsi que leur rémunération, sont déterminées par décision unanime des associés.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21 : Variation des capitaux propres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 du fait des pertes constatées dans les états financiers de synthèse, les capitaux propres deviennent inférieurs à la moitié du capital social, les associés doivent décider dans les quatre mois s’il y a lieu à dissolution anticipée.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22 : Commissaire aux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associés peuvent nommer un commissaire aux comptes. La désignation d’un commissaire aux comptes est obligatoire si le chiffre d’affaires annuel excède les seuils fixés par l’Acte Uniforme.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23 : Dissolution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en nom collectif est dissoute pour les causes communes à toutes les sociétés et en outre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par le décès de l’un des associés, sous réserve des dispositions de l’article 10 ci-dessus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par la révocation du gérant statutaire associé, sauf décision unanime de continuation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par la liquidation judiciaire de l’un des associés, sauf décision unanime de continuation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par l’interdiction d’exercer une activité commerciale, l’incapacité ou le décès d’un associé, sauf clause de continuation.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24 : Liquidation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dissolution de la société entraîne sa mise en liquidation. Le ou les gérants en fonction lors de la dissolution exercent les fonctions de liquidateurs.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boni de liquidation est réparti entre les associés au prorata du nombre de parts qu’ils détiennent.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25 : Contestations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contestations relatives aux affaires sociales survenant pendant la durée de la société ou au cours de sa liquidation, entre les associés ou entre les associés et la société, sont soumises au tribunal chargé des affaires commerciales.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26 : Frais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frais, droits et honoraires des présents statuts sont à la charge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Fait à {lieu_signature}, le {date_signature} en {nombre_associes} originaux.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i/>
          <w:sz w:val="24"/>
          <w:szCs w:val="24"/>
        </w:rPr>
        <w:t xml:space="preserve">Signature de chaque associé avec mention « Lu et approuvé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{civilite} {prenom} {nom}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Paraphes : _____ / _____</w:t>
    </w:r>
    <w:r>
      <w:rPr>
        <w:sz w:val="18"/>
      </w:rPr>
      <w:tab/>
    </w:r>
    <w:r>
      <w:rPr>
        <w:rFonts w:ascii="Times New Roman" w:hAnsi="Times New Roman"/>
        <w:sz w:val="18"/>
      </w:rPr>
      <w:t xml:space="preserve">Statuts SNC — {denomination}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szCs w:val="20"/>
      </w:rPr>
      <w:t xml:space="preserve">{denomination}</w:t>
    </w:r>
  </w:p>
  <w:p>
    <w:pPr>
      <w:jc w:val="center"/>
      <w:spacing w:after="0"/>
    </w:pPr>
    <w:r>
      <w:rPr>
        <w:rFonts w:ascii="Times New Roman" w:hAnsi="Times New Roman"/>
        <w:sz w:val="18"/>
        <w:szCs w:val="18"/>
      </w:rPr>
      <w:t xml:space="preserve">Société en Nom Collectif au capital de {capital} {devise}</w:t>
    </w:r>
  </w:p>
  <w:p>
    <w:pPr>
      <w:jc w:val="center"/>
      <w:spacing w:after="120"/>
      <w:pBdr>
        <w:bottom w:val="single" w:sz="4" w:space="1" w:color="999999"/>
      </w:pBdr>
    </w:pPr>
    <w:r>
      <w:rPr>
        <w:rFonts w:ascii="Times New Roman" w:hAnsi="Times New Roman"/>
        <w:sz w:val="18"/>
        <w:szCs w:val="18"/>
      </w:rPr>
      <w:t xml:space="preserve">Siège social : {siege_social}, {ville}, {pays}</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