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ACTE DE CESSION DE PARTS SOCIALES</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(SARL)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CÉDANT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{cedant_civilite} {cedant_prenom} {cedant_nom}, né(e) le {cedant_date_naissance} à {cedant_lieu_naissance}, de nationalité {cedant_nationalite}, demeurant à {cedant_adresse},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Associé(e) de la société {denomination}, titulaire de {cedant_nb_parts}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Ci-après dénommé(e) « le Cédant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D’UNE PART,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CESSIONNAIRE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{cessionnaire_civilite} {cessionnaire_prenom} {cessionnaire_nom}, né(e) le {cessionnaire_date_naissance} à {cessionnaire_lieu_naissance}, de nationalité {cessionnaire_nationalite}, demeurant à {cessionnaire_adresse},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Ci-après dénommé(e) « le Cessionnaire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D’AUTRE PART,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IL A ÉTÉ PRÉALABLEMENT RAPPELÉ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{denomination}, société à responsabilité limitée au capital de {capital} FCFA, divisé en {nombre_parts_total} parts sociales de {valeur_nominale} FCFA chacune, a été constituée suivant acte {acte_constitution} en date du {date_constitution}.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Elle est immatriculée au Registre du Commerce et du Crédit Mobilier sous le numéro {numero_rccm}, et son siège social est fixé à {siege_social}.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IL A ÉTÉ CONVENU CE QUI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 – Cession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les présentes, le Cédant cède au Cessionnaire, qui accepte, {nb_parts_cedees} parts sociales de la société {denomination}, numérotées de {numero_debut_parts} à {numero_fin_parts}, d’une valeur nominale de {valeur_nominale} FCFA chacune.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Prix de cession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présente cession est consentie et acceptée moyennant le prix de {prix_cession} FCFA ({prix_cession_lettres}), que le Cédant reconnaît avoir reçu du Cessionnaire avant la signature des présentes, ce dont il lui donne quittance.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Agrément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Cessionnaire déclare avoir été dûment agréé en qualité de nouvel associé par décision de l’assemblée générale extraordinaire des associés en date du {date_agrement}, conformément aux dispositions statutaires et aux articles 318 et suivants de l’Acte uniforme relatif au droit des sociétés commerciales et du groupement d’intérêt économique (AUSCGIE).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Modification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la suite de la présente cession, la répartition du capital social de la société {denomination} est modifiée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{nouvelle_repartition_capital}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Enregistrement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parties s’engagent à faire enregistrer le présent acte auprès des services fiscaux compétents dans les délais légaux et à acquitter les droits d’enregistrement y afférents.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Publicité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Conformément à l’article 317 de l’AUSCGIE, la cession ne sera opposable aux tiers qu’après dépôt de deux originaux de l’acte de cession au siège social et inscription modificative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Tous les frais, droits et honoraires résultant des présentes seront à la charge du {partie_frais}.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Fait en {nombre_exemplaires} exemplaires originaux à {lieu_signature}, le {date_signature}.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Cédant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{cedant_prenom} {cedant_nom}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(Signature précédée de la mention « BON POUR CESSION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Cessionnaire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{cessionnaire_prenom} {cessionnaire_nom}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(Signature précédée de la mention « BON POUR ACCEPTATION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Acte de cession de parts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SARL au capital de {capital} FCFA</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