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DÉCISIONS DE L’ACTIONNAIRE UNIQUE ADMINISTRATEUR GÉNÉRAL SA OU DE L’ASSOCIÉ UNIQUE PRÉSIDENT SASU EN DATE DU {date_decisions}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{date_decisions_lettres}, et le {date_decisions} à {heure_decisions_lettres} heures,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{actionnaire_civilite} {actionnaire_prenom} {actionnaire_nom}, né(e) le {actionnaire_date_naissance} à {actionnaire_lieu_naissance}, de nationalité {actionnaire_nationalite}, demeurant à {actionnaire_adresse},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 unique et {actionnaire_qualite} de la société {denomination}, {forme_juridique} au capital de {capital} {devise}, dont le siège social est à {siege_social}, immatriculée au RCCM sous le n° {rccm},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Après avoir pris connaissance des rapports de l’administrateur général (ou du président) et du commissaire aux comptes, a pris les décisions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{date_decisions_lettres}, et le {date_decisions} à {heure_decisions_lettres} heures,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{actionnaire_denomination}, {actionnaire_forme_juridique} au capital de {actionnaire_capital} {devise}, dont le siège social est à {actionnaire_siege}, immatriculée au RCCM sous le n° {actionnaire_rccm}, représentée par {actionnaire_representant_civilite} {actionnaire_representant_prenom} {actionnaire_representant_nom}, agissant en qualité de {actionnaire_representant_qualite},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 unique de la société {denomination}, {forme_juridique} au capital de {capital} {devise}, dont le siège social est à {siege_social}, immatriculée au RCCM sous le n° {rccm},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Après avoir pris connaissance des rapports de l’administrateur général (ou du président) et du commissaire aux comptes, a pris les décisions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Première décision : Approbation des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approuve les états financiers de synthèse de l’exercice clos le {exercice_clos_le}, tels qu’ils lui ont été présentés, et qui font apparaître un résultat {resultat_type} de {resultat_montant} {devise}.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approuve également les opérations traduites dans ces comptes ou résumées dans ces rapports.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il donne quitus à l’administrateur général (ou au président) et au commissaire aux comptes de l’exécution de leurs mandats respectifs pour ledit exercice.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Deuxième décision : Affectation des résultats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d’affecter le résultat net bénéficiaire de {resultat_montant} {devise} de l’exercice clos le {exercice_clos_le} de la manière suivante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{affectation_details}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d’affecter le résultat net déficitaire de {resultat_montant} {devise} au report à nouveau débiteur.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Troisième décision : 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 à l’issue de la présente décision, l’actionnaire unique décide de renouveler son mandat pour une durée de {commissaire_duree}, soit jusqu’à l’issue de l’exercice clos le {commissaire_fin_mandat}.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D. Quatrième décision : Nomination de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de nommer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{commissaire_titulaire_nom}, demeurant à {commissaire_titulaire_adresse}, en qualité de commissaire aux comptes titulaire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{commissaire_suppleant_nom}, demeurant à {commissaire_suppleant_adresse}, en qualité de commissaire aux comptes suppléant,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une durée de {commissaire_duree}, prenant fin à l’issue de l’exercice clos le {commissaire_fin_mandat}.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E. Cinquième décision : Non-renouvellement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 à l’issue de la présente décision, l’actionnaire unique décide de ne pas renouveler son mandat.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F. Sixième décision : Approbation des conventions visées aux articles 505 et 853-14 de l’AUSCGIE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après avoir pris connaissance du rapport spécial du commissaire aux comptes sur les conventions visées aux articles 505 et 853-14 de l’Acte Uniforme, approuve lesdites conventions.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{convention_details}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{#has_augmentation_capital_numeraire}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G. Septième décision : Augmentation de capital par apports en numéraire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d’augmenter le capital social de {montant_augmentation} {devise}, pour le porter de {capital} {devise} à {nouveau_capital} {devise}, par la création de {nouvelles_actions} actions nouvelles de {valeur_nominale} {devise} chacune, souscrites et libérées intégralement par versement en numéraire.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les articles des statuts relatifs aux apports et au capital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{/has_augmentation_capital_numeraire}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{#has_augmentation_capital_nature}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H. Huitième décision : Augmentation de capital par apport en nature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après avoir pris connaissance du rapport de {commissaire_apports_nom}, commissaire aux apports désigné en date du {date_designation_commissaire}, approuve l’évaluation des apports en nature et décide d’augmenter le capital social de {montant_augmentation} {devise}, pour le porter de {capital} {devise} à {nouveau_capital} {devise}, par la création de {nouvelles_actions} actions nouvelles de {valeur_nominale} {devise} chacune, attribuées à l’apporteur en rémunération de son apport.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les articles des statuts relatifs aux apports et au capital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{/has_augmentation_capital_nature}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{#has_augmentation_capital_reserves}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Neuvième décision : Augmentation de capital par incorporation de réserves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d’augmenter le capital social de {montant_augmentation} {devise}, pour le porter de {capital} {devise} à {nouveau_capital} {devise}, par incorporation de pareille somme prélevée sur le poste « {poste_reserves} », et par la création de {nouvelles_actions} actions nouvelles de {valeur_nominale} {devise} chacune, attribuées gratuitement.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les articles des statuts relatifs au capital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{/has_augmentation_capital_reserves}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{#has_continuation_perte}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J. Dixième décision : Continuation de la société malgré la perte de plus de la moitié du capital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constatant que les états financiers au {date_etats_financiers}, précédemment approuvés, font apparaître des capitaux propres de {montant_capitaux_propres} {devise}, soit un montant inférieur à la moitié du capital social qui est de {capital} {devise}, décide qu’il n’y a pas lieu, malgré cette perte, de prononcer la dissolution anticipée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{/has_continuation_perte}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{#has_mise_harmonie}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K. Onzième décision : Mise en harmonie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de mettre les statuts en harmonie avec les nouvelles dispositions de l’Acte Uniforme relatif au droit des sociétés commerciales et du GIE.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Refonte complète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procéder à une refonte complète des statuts de la société afin de les mettre en conformité avec les dispositions de l’Acte Uniforme révisé.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{/has_mise_harmonie}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{#has_changement_denomination}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L. Douzième décision : Changement de dénomination sociale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qu’à compter du {date_effet}, la dénomination sociale sera « {nouvelle_denomination} ».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l’article n° {article_denomination} des statuts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 La société a pour dénomination sociale « {nouvelle_denomination} » ». Le reste de l’article est sans changement.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{/has_changement_denomination}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{#has_prorogation_duree}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M. Treizième décision : Prorogation de la durée de la 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constatant que la durée de la société doit venir à expiration le {date_expiration}, décide de proroger cette durée de {duree_prorogation} années, soit jusqu’au {nouvelle_date_expiration}.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l’article des statuts relatif à la durée de la société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 La durée de la société est fixée à ... années à compter de son immatriculation au RCCM, soit jusqu’au {nouvelle_date_expiration} ». Le reste de l’article est sans changement.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{/has_prorogation_duree}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{#has_modification_objet}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N. Quatorzième décision : Modification de l’objet social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d’étendre (ou de restreindre), à compter du {date_effet}, l’objet social aux activités ci-après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{nouvel_objet_social}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l’article des statuts relatif à l’objet social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 La société a pour objet : {nouvel_objet_social} ». Le reste de l’article est sans changement.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{/has_modification_objet}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{#has_transfert_siege}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O. Quinzième décision : Transfert du siège social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de transférer, à compter du {date_effet}, le siège social de {ancien_siege} à {nouveau_siege}.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corrélative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l’actionnaire unique décide de modifier l’article des statuts relatif au siège social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 Le siège social est fixé à {nouveau_siege} ». Le reste de l’article est sans changement.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{/has_transfert_siege}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{#has_transformation}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P. Seizième décision : Transformation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après avoir pris connaissance du rapport du commissaire aux comptes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prend acte de l’attestation du commissaire aux comptes que les capitaux propres de la société sont au moins égaux au capital social et que la société a fait approuver les bilans des deux premiers exercices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{#transformation_absence_obligations}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constate l’absence de titulaires d’obligations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{/transformation_absence_obligations}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{#transformation_acceptation_obligations}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constate l’acceptation par les titulaires d’obligations de la transformation de la société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{/transformation_acceptation_obligations}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{#transformation_refus_obligations}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constate le refus par les titulaires d’obligations de la transformation de la société. En conséquence, l’actionnaire unique décide de procéder au remboursement immédiat des obligations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{/transformation_refus_obligations}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et décide la transformation en société {nouvelle_forme_juridique} à compter de ce jour.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 de la transformation ci-dessus décidée, l’actionnaire unique décide de modifier l’intégralité des statuts de la société pour les adapter à la nouvelle forme juridique.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{/has_transformation}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Q. Dix-septième décision : Dissolution et liquidation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prononce la dissolution, par anticipation, de la société {denomination} à compter de ce jour.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Modification de l’article des statuts relatif à la durée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 de la dissolution ci-dessus prononcée, l’actionnaire unique décide de modifier l’article des statuts relatif à la durée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nomme comme liquidateur {liquidateur_civilite} {liquidateur_nom}, demeurant à {liquidateur_adresse}, pour la durée de la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est fixé à {siege_liquidation}.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rémunération de ses fonctions, le liquidateur aura droit à {remuneration_liquidateur}.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{#has_emission_obligations}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R. Dix-huitième décision : Émission d’obligations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d’émettre un emprunt obligataire d’un montant de {montant_obligations} {devise}, divisé en {nombre_obligations} obligations de {valeur_nominale_obligation} {devise} chacune, au taux de {taux_obligations} %, remboursable en {duree_obligations}.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{/has_emission_obligations}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{#has_conversion_obligations}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S. Dix-neuvième décision : Conversion d’obligations en actions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d’autoriser la conversion des obligations en actions, selon les modalités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{conversion_modalites}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{/has_conversion_obligations}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T. Dernière décision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délègue tous pouvoirs au porteur d’une copie ou d’un extrait du procès-verbal constatant les délibérations à l’effet d’accomplir toutes formalités légales ou autres.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l’actionnaire unique a dressé le présent procès-verbal qu’il a signé.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L’Actionnaire Unique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{actionnaire_civilite} {actionnaire_prenom} {actionnaire_nom}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Représentée par {actionnaire_representant_civilite} {actionnaire_representant_prenom} {actionnaire_representant_nom}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Décisions actionnaire unique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