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PROJET DES RÉSOLUTIONS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RELATIVES À LA DISSOLUTION ET LA LIQUIDATION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 LA SOCIÉTÉ {denomination}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Assemblée générale extraordinaire du {date_age}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Première résolution : Dissolution anticipée de la société et modification de l’article des statuts relatif à la durée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extraordinaire, après avoir entendu la lecture du rapport du conseil d’administration (ou de l’administrateur général / du président)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décide la dissolution anticipée de la société {denomination}, {forme_juridique} au capital de {capital} {devise}, immatriculée au RCCM sous le n° {rccm}, à compter de ce jour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décide que la société subsistera pour les besoins de sa liquidation jusqu’à la clôture de celle-ci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décide en conséquence de modifier l’article {article_duree} des statuts relatif à la durée de la société qui sera désormais rédigé comme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« La société est dissoute à compter du {date_dissolution}. Elle subsiste pour les besoins de sa liquidation. »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Deuxième résolution : Nomination du liquidateur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extraordinaire nomme en qualité de liquidateur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{liquidateur_civilite} {liquidateur_prenom} {liquidateur_nom}, né(e) le {liquidateur_date_naissance} à {liquidateur_lieu_naissance}, de nationalité {liquidateur_nationalite}, demeurant à {liquidateur_adresse}.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liquidateur aura, conformément à la loi, les pouvoirs les plus étendus pour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représenter la société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réaliser l’actif, même à l’amiable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payer les créanciers sociaux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répartir le solde disponible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continuer les affaires en cours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engager de nouvelles opérations pour les besoins de la liquidation.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siège de la liquidation est fixé à {siege_liquidation}.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correspondance et les actes émanant de la société devront porter la mention « société en liquidation » suivie du nom du liquidateur.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rémunération de ses fonctions, le liquidateur percevra {remuneration_liquidateur}.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Troisième résolution : Pouvoirs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extraordinaire donne tous pouvoirs au liquidateur et au porteur d’une copie ou d’un extrait du présent procès-verbal à l’effet d’accomplir toutes formalités légales, notamment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dépôt au greffe du tribunal compétent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la publication dans un journal d’annonces légales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la modification de l’inscription au RCCM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et toutes autres formalités nécessaires.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Projet résolutions dissolution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