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PROCÈS-VERBAL</w:t>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CONSTATANT LE DÉFAUT DE QUORUM</w:t>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DE L’ASSEMBLÉE GÉNÉRALE ORDINAIRE</w:t>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DU {date_ago}</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COMPOSITION DU BUREAU</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Président de séance : {president_seance}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Scrutateur 1 : {scrutateur_1}</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Scrutateur 2 : {scrutateur_2}</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Secrétaire : {secretaire}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CONVOCATION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actionnaires de la société {denomination} ont été régulièrement convoqués en assemblée générale ordinaire par {mode_convocation} en date du {date_convocation}, pour se réunir le {date_ago} à {heure_ago}, au siège social sis {siege_social}.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ORDRE DU JOUR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{ordre_du_jour}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FEUILLE DE PRÉSENCE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résulte de la feuille de présence que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Nombre total d’actions composant le capital : {nb_actions_total}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Nombre d’actions présentes ou représentées : {nb_actions_presentes}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Nombre de voix présentes ou représentées : {nb_voix_presentes}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CONSTAT DE DÉFAUT DE QUORUM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de séance constate que les actionnaires présents ou représentés ne détiennent que {nb_actions_presentes} actions sur les {nb_actions_total} actions composant le capital social, soit {pourcentage_present} %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Conformément à l’article 550 de l’Acte uniforme relatif au droit des sociétés commerciales et du groupement d’intérêt économique (AUSCGIE), l’assemblée générale ordinaire ne peut valablement délibérer sur première convocation que si les actionnaires présents ou représentés possèdent au moins le quart (1/4) des actions ayant le droit de vote.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 quorum n’étant pas atteint, le président déclare que l’assemblée générale ordinaire ne peut valablement délibérer.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NOUVELLE CONVOCATION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conformément aux dispositions de l’AUSCGIE, une nouvelle assemblée générale ordinaire sera convoquée avec le même ordre du jour. Cette seconde assemblée délibérera valablement quel que soit le nombre d’actions représentées.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date de la nouvelle assemblée est fixée au {date_nouvelle_ag} à {heure_nouvelle_ag}, au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De tout ce qui précède, il a été dressé le présent procès-verbal.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Le Président de séance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{president_seance}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Les Scrutateurs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{scrutateur_1}</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{scrutateur_2}</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Le Secrétaire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{secretaire}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PV carence AGO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w:t>
    </w:r>
  </w:p>
  <w:p>
    <w:pPr>
      <w:jc w:val="center"/>
      <w:spacing w:after="0"/>
    </w:pPr>
    <w:r>
      <w:rPr>
        <w:rFonts w:ascii="Times New Roman" w:hAnsi="Times New Roman"/>
        <w:sz w:val="18"/>
      </w:rPr>
      <w:t xml:space="preserve">{forme_sociale} au capital de {capital} FCFA</w:t>
    </w:r>
  </w:p>
  <w:p>
    <w:pPr>
      <w:jc w:val="center"/>
      <w:spacing w:after="120"/>
      <w:pBdr>
        <w:bottom w:val="single" w:sz="4" w:space="1" w:color="999999"/>
      </w:pBdr>
    </w:pPr>
    <w:r>
      <w:rPr>
        <w:rFonts w:ascii="Times New Roman" w:hAnsi="Times New Roman"/>
        <w:sz w:val="18"/>
      </w:rPr>
      <w:t xml:space="preserve">Siège social : {siege_social}</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