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jc w:val="center"/>
        <w:spacing w:after="120" w:line="276" w:lineRule="auto"/>
        <w:rPr>
          <w:rFonts w:ascii="Times New Roman" w:hAnsi="Times New Roman" w:cs="Times New Roman"/>
        </w:rPr>
      </w:pPr>
      <w:r>
        <w:rPr>
          <w:rFonts w:ascii="Times New Roman" w:hAnsi="Times New Roman" w:cs="Times New Roman"/>
          <w:b/>
          <w:sz w:val="28"/>
          <w:szCs w:val="28"/>
        </w:rPr>
        <w:t xml:space="preserve">DÉCISIONS DE L’ASSOCIÉ UNIQUE GÉRANT DU {date_decisions}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L’an {date_decisions_lettres}, et le {date_decisions} à {heure_decisions_lettres} heures,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{associe_civilite} {associe_prenom} {associe_nom}, associé unique et seul gérant de la société, après avoir pris connaissance des rapports du commissaire aux comptes (éventuellement) a pris les décisions suivantes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{#has_approbation_comptes}</w:t>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 Première décision : Approbation des comptes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L’associé unique gérant approuve l’inventaire et les comptes annuels tels qu’il les a présentés, et qui font apparaître un résultat {resultat_type} de {resultat_montant} {devise}.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En conséquence, il donne quitus au commissaire aux comptes pour ledit exercice.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{/has_approbation_comptes}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{#has_affectation_resultats}</w:t>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B. Deuxième décision : Affectation des résultats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{#is_beneficiaire}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L’associé unique gérant décide d’affecter le résultat net bénéficiaire de {resultat_montant} francs CFA de l’exercice {exercice_clos_le} de la manière suivante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{affectation_details}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{/is_beneficiaire}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{#is_deficitaire}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L’associé unique gérant décide d’affecter le résultat net déficitaire de {resultat_montant} francs CFA au report à nouveau.</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{/is_deficitaire}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{/has_affectation_resultats}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{#has_conventions_decision}</w:t>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C. Troisième décision : Approbation des conventions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{#has_conventions}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L’associé unique gérant, après avoir entendu la lecture du rapport spécial du commissaire aux comptes sur la convention conclue au cours de l’exercice entre {convention_details} et la société et lui même approuve les opérations ressortant de ladite convention.</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{/has_conventions}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{/has_conventions_decision}</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{#has_renouvellement_gerant}</w:t>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D. Quatrième décision : Renouvellement des fonctions du gérant</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L’associé unique gérant renouvelle son mandat de gérant de la société pour une durée de {duree_gerant}, venant à expiration le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{/has_renouvellement_gerant}</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{#has_remuneration_gerant}</w:t>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E. Cinquième décision : Rémunération du gérant</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L’associé unique gérant décide que pour l’exercice de ses fonctions, et pendant la durée de son mandat, il aura droit à une rémunération ainsi déterminée : {remuneration_gerant}</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Il aura également droit au remboursement de ses frais de représentation et de déplacement sur justificatif.</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{/has_remuneration_gerant}</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{#has_nomination_cac}</w:t>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F. Sixième décision : Nomination de commissaire aux comptes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L’associé unique gérant décide de nommer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{commissaire_titulaire_nom}, demeurant à {commissaire_titulaire_adresse}, en qualité de commissaire aux comptes titulaire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{commissaire_suppleant_nom}, demeurant à {commissaire_suppleant_adresse}, en qualité de commissaire aux comptes suppléant,</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pour une période de {commissaire_duree}, prenant fin à l’issue de l’exercice clos le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{/has_nomination_cac}</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{#has_renouvellement_cac}</w:t>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G. Septième décision : Renouvellement ou non renouvellement du mandat du commissaire aux comptes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 mandat de M {commissaire_titulaire_nom}, commissaire aux comptes étant arrivé à expiration (ou arrivant à expiration à l’issue de la présente assemblée), l’associé unique gérant décide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de renouveler son mandat pour une durée de trois exercices prenant fin à l’issue de l’exercice clos le ...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ou</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de ne pas renouveler son mandat.</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{/has_renouvellement_cac}</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{#has_changement_denomination}</w:t>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H. Huitième décision : Changement de dénomination sociale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L’associé unique gérant décide qu’à compter du {date_effet}, la dénomination sociale sera « {nouvelle_denomination}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Neuvième décision : Modification corrélative des statuts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En conséquence de la résolution précédente, l’associé unique gérant décide de modifier l’article n° {article_denomination} des statuts comme suit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La société a pour dénomination sociale « {nouvelle_denomination} ». Le reste de l’article est sans changement.</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{/has_changement_denomination}</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{#has_prorogation_duree}</w:t>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I. Dixième décision : Prorogation de la durée de la société</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L’associé unique gérant constatant que la durée de la société doit venir à expiration le {date_expiration}, décide de proroger cette durée de {duree_prorogation} années, soit jusqu’au {nouvelle_date_expiration}.</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Onzième décision : Modification corrélative des statuts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En conséquence de la résolution précédente, l’associé unique gérant décide de modifier l’article des statuts relatif à la durée de la société comme suit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La durée de la société est fixée à ... années à compter de son immatriculation au RCCM, soit jusqu’au {nouvelle_date_expiration} ». Le reste de l’article est sans changement.</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{/has_prorogation_duree}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{#has_modification_objet}</w:t>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J. Douzième décision : Modification de l’objet social</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L’associé unique décide d’étendre (ou de restreindre), à compter du {date_effet}, l’objet social aux activités ci-après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{nouvel_objet_social}</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Treizième décision : Modification corrélative des statuts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En conséquence de la résolution précédente, l’associé unique gérant décide de modifier l’article des statuts relatif à l’objet social comme suit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La société a pour objet : {nouvel_objet_social} ». Le reste de l’article est sans changement.</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{/has_modification_objet}</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{#has_transfert_siege}</w:t>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K. Quatorzième décision : Transfert du siège social</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L’associé unique gérant décide de transférer, à compter du {date_effet}, le siège social de {ancien_siege} à {nouveau_siege}.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Quinzième décision : Modification corrélative des statuts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En conséquence de la résolution précédente, l’associé unique gérant décide de modifier l’article des statuts relatif au siège social comme suit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Le siège social est fixé à {nouveau_siege} ». Le reste de l’article est sans changement.</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{/has_transfert_siege}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{#has_continuation_perte}</w:t>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L. Quinzième décision : Continuation de la société malgré la perte de plus de la moitié du capital</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L’associé unique gérant constatant que les états financiers au {date_etats_financiers}, précédemment approuvés par lui, font apparaître des capitaux propres de {montant_capitaux_propres} FCFA, soit un montant inférieur à la moitié du capital social qui est de {capital} FCFA, décide qu’il n’y a pas lieu, malgré cette perte, de prononcer la dissolution anticipée de la société.</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{/has_continuation_perte}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{#has_augmentation_capital_numeraire}</w:t>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M. Seizième décision : Augmentation de capital par apports en numéraire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L’associé unique gérant décide d’augmenter de la somme de {montant_augmentation} FCFA, le capital social qui est actuellement de {capital} FCFA, divisé en {nombre_parts} parts de FCFA {valeur_nominale} chacune, pour le porter à FCFA {nouveau_capital} par la création de {nouvelles_parts} parts nouvelles, de FCFA {valeur_nominale} chacune souscrites et libérées intégralement par versements d’espèces ou compensation avec une créance certaine, liquide et exigible sur la société.</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Dix septième décision : Modification corrélative des statuts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En conséquence de la résolution précédente, l’associé unique gérant décide de modifier les articles des statuts relatifs aux apports et au capital social.</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{/has_augmentation_capital_numeraire}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{#has_augmentation_capital_nature}</w:t>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N. Dix huitième décision : Augmentation de capital par apport en nature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L’associé unique gérant, après avoir pris connaissance du rapport de M {commissaire_apports_nom}, commissaire aux apports désigné en date du {date_designation_commissaire}, approuve l’acte d’apport et décide, en conséquence, d’augmenter de la somme de FCFA {montant_augmentation} le capital social qui est actuellement de {capital} FCFA, divisé en {nombre_parts} parts de FCFA {valeur_nominale} chacune, pour le porter à FCFA {nouveau_capital} par la création de {nouvelles_parts} parts nouvelles de FCFA {valeur_nominale} chacune, attribuées à l’apporteur en rémunération de son apport.</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Dix neuvième décision : Modification corrélative des statuts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En conséquence de la résolution précédente, l’associé unique gérant décide de modifier les articles des statuts relatifs aux apports et au capital social.</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{/has_augmentation_capital_nature}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{#has_augmentation_capital_reserves}</w:t>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O. Vingtième décision : Augmentation de capital par incorporation de réserves, primes, avec création de nouvelles parts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L’associé unique gérant décide d’augmenter de la somme de {montant_augmentation} FCFA le capital social qui est actuellement de {capital} FCFA, divisé en {nombre_parts} parts de FCFA {valeur_nominale} chacune, pour le porter à FCFA {nouveau_capital}, par incorporation directe de pareille somme du poste « Réserves ... », par la création de {nouvelles_parts} parts nouvelles de FCFA {valeur_nominale} chacune attribuées gratuitement à raison de ... parts nouvelles pour ... parts anciennes.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Vingt et unième décision : Modification corrélative des statuts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En conséquence de la résolution précédente, l’associé unique gérant décide de modifier les articles des statuts relatifs au capital social.</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{/has_augmentation_capital_reserves}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{#has_augmentation_capital_majoration}</w:t>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P. Vingt deuxième décision : Augmentation de capital par incorporation de réserves, primes, avec majoration de la valeur nominale de la part</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L’associé unique gérant décide d’augmenter de la somme de {montant_augmentation} FCFA le capital social qui est actuellement de {capital} FCFA, divisé en {nombre_parts} parts de FCFA {valeur_nominale} chacune, pour le porter à FCFA {nouveau_capital}, par incorporation directe de pareille somme du poste « Réserves ... », par majoration de la valeur nominale de chaque part sociale qui est portée de {valeur_nominale} FCFA à {nouvelle_valeur_nominale} FCFA.</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Vingt troisième décision : Modification corrélative des statuts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En conséquence de la résolution précédente, l’associé unique gérant décide de modifier les articles des statuts relatifs au capital social.</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{/has_augmentation_capital_majoration}</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{#has_reduction_capital}</w:t>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Q. Vingt quatrième décision : Réduction de capital</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L’associé unique gérant, après avoir pris connaissance des rapports du commissaire aux comptes (éventuellement), décide de procéder à la réduction du capital de {montant_reduction} FCFA (nouveau capital).</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 réduction du capital sera réalisée par voie de réduction de la valeur nominale des parts sociales qui passe de {ancienne_valeur} FCFA à {nouvelle_valeur} FCFA.</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ou bien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 réduction du capital sera réalisée par réduction du nombre de parts sociales qui passe de {nombre_parts} à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Vingt cinquième décision : Modification corrélative des statuts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En conséquence de la résolution précédente, l’associé unique gérant décide de modifier l’article des statuts relatif au capital social.</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{/has_reduction_capital}</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{#has_transformation}</w:t>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R. Vingt sixième décision : Transformation</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L’associé unique après avoir entendu le rapport du commissaire aux comptes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prend acte de l’attestation du commissaire aux comptes que : les capitaux propres de la société sont au moins égaux au capital social, la société a fait approuver par les associés les bilans des deux premiers exercices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et décide la transformation en société {nouvelle_forme_juridique} à compter de ce jour (ou à compter du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Vingt septième décision : Modification des statuts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En conséquence de la transformation ci-dessus décidée, l’associé unique gérant décide de modifier les statuts de la société pour les adapter à la nouvelle forme juridique.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Vingt huitième décision : Désignation des dirigeants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L’associé unique gérant décide de désigner les dirigeants de la société sous sa nouvelle forme.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Vingt neuvième décision : Désignation du commissaire aux comptes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L’associé unique gérant décide de désigner un commissaire aux comptes conformément aux dispositions applicables à la nouvelle forme juridique.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{/has_transformation}</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{#has_dissolution}</w:t>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S. Trentième décision : Dissolution et liquidation</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L’associé unique gérant prononce la dissolution, par anticipation, de la société {denomination} à compter de ce jour (ou : à compter du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Trente et unième décision : Modification de l’article des statuts relatif à la durée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En conséquence de la dissolution ci-dessus prononcée, l’associé unique gérant décide de modifier l’article des statuts relatif à la durée de la société.</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Trente deuxième décision : Nomination du liquidateur</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L’associé unique gérant nomme comme liquidateur M {liquidateur_nom} (nom et adresse) pour la durée de la liquidation.</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 siège de la liquidation est fixé au siège social (ou : à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L’associé unique gérant décide qu’en rémunération de ses fonctions, le liquidateur aura droit à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{/has_dissolution}</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{#has_mise_harmonie}</w:t>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T. Trente troisième décision : Mise en harmonie des statuts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L’associé unique gérant décide de mettre les statuts en harmonie avec les nouvelles dispositions de l’Acte Uniforme relatif au droit des sociétés commerciales et du GIE, notamment les articles 907 et suivants.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Trente quatrième décision : Refonte complète des statuts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En conséquence de la décision précédente, l’associé unique gérant décide de procéder à une refonte complète des statuts de la société afin de les mettre en conformité avec les dispositions de l’Acte Uniforme révisé.</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{/has_mise_harmonie}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{#has_pouvoirs}</w:t>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U. Trente cinquième décision : Pouvoirs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L’associé unique délègue tous pouvoirs au porteur d’une copie ou d’un extrait du procès-verbal constatant les délibérations à l’effet d’accomplir toutes formalités légales ou autres.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{/has_pouvoirs}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De tout ce que dessus, l’associé unique gérant a dressé le présent procès-verbal qu’il a signé.</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L’Associé Unique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{associe_civilite} {associe_prenom} {associe_nom}</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sectPr>
      <w:headerReference xmlns:r="http://schemas.openxmlformats.org/officeDocument/2006/relationships" w:type="default" r:id="rId1"/>
      <w:footerReference xmlns:r="http://schemas.openxmlformats.org/officeDocument/2006/relationships" w:type="default" r:id="rId2"/>
      <w:pgSz w:w="11906" w:h="16838"/>
      <w:pgMar w:top="1800" w:right="1440" w:bottom="1440" w:left="1440" w:header="720" w:footer="400" w:gutter="0"/>
    </w:sectPr>
  </w:body>
</w:document>
</file>

<file path=word/footer1.xml><?xml version="1.0" encoding="utf-8"?>
<w:ftr xmlns:w="http://schemas.openxmlformats.org/wordprocessingml/2006/main">
  <w:p>
    <w:pPr>
      <w:pBdr>
        <w:top w:val="single" w:sz="4" w:space="1" w:color="999999"/>
      </w:pBdr>
    </w:pPr>
  </w:p>
  <w:p>
    <w:pPr>
      <w:tabs>
        <w:tab w:val="center" w:pos="4536"/>
        <w:tab w:val="right" w:pos="9072"/>
      </w:tabs>
    </w:pPr>
    <w:r>
      <w:rPr>
        <w:rFonts w:ascii="Times New Roman" w:hAnsi="Times New Roman"/>
        <w:sz w:val="18"/>
      </w:rPr>
      <w:t xml:space="preserve">Décisions associé unique gérant — {denomination}</w:t>
    </w:r>
    <w:r>
      <w:rPr>
        <w:sz w:val="18"/>
      </w:rPr>
      <w:tab/>
    </w:r>
    <w:r>
      <w:rPr>
        <w:rFonts w:ascii="Times New Roman" w:hAnsi="Times New Roman"/>
        <w:sz w:val="18"/>
      </w:rPr>
      <w:t xml:space="preserve">Page </w:t>
    </w:r>
    <w:r>
      <w:fldChar w:fldCharType="begin"/>
    </w:r>
    <w:r>
      <w:instrText> PAGE </w:instrText>
    </w:r>
    <w:r>
      <w:fldChar w:fldCharType="separate"/>
    </w:r>
    <w:r>
      <w:t>1</w:t>
    </w:r>
    <w:r>
      <w:fldChar w:fldCharType="end"/>
    </w:r>
    <w:r>
      <w:rPr>
        <w:rFonts w:ascii="Times New Roman" w:hAnsi="Times New Roman"/>
        <w:sz w:val="18"/>
      </w:rPr>
      <w:t xml:space="preserve"> / </w:t>
    </w:r>
    <w:r>
      <w:fldChar w:fldCharType="begin"/>
    </w:r>
    <w:r>
      <w:instrText> NUMPAGES </w:instrText>
    </w:r>
    <w:r>
      <w:fldChar w:fldCharType="separate"/>
    </w:r>
    <w:r>
      <w:t>1</w:t>
    </w:r>
    <w:r>
      <w:fldChar w:fldCharType="end"/>
    </w:r>
  </w:p>
</w:ftr>
</file>

<file path=word/header1.xml><?xml version="1.0" encoding="utf-8"?>
<w:hdr xmlns:w="http://schemas.openxmlformats.org/wordprocessingml/2006/main">
  <w:p>
    <w:pPr>
      <w:jc w:val="center"/>
      <w:spacing w:after="0"/>
    </w:pPr>
    <w:r>
      <w:rPr>
        <w:rFonts w:ascii="Times New Roman" w:hAnsi="Times New Roman"/>
        <w:b/>
        <w:sz w:val="20"/>
      </w:rPr>
      <w:t xml:space="preserve">{denomination}</w:t>
    </w:r>
  </w:p>
  <w:p>
    <w:pPr>
      <w:jc w:val="center"/>
      <w:spacing w:after="0"/>
    </w:pPr>
    <w:r>
      <w:rPr>
        <w:rFonts w:ascii="Times New Roman" w:hAnsi="Times New Roman"/>
        <w:sz w:val="18"/>
      </w:rPr>
      <w:t xml:space="preserve">{forme_juridique} au capital de {capital} {devise}</w:t>
    </w:r>
  </w:p>
  <w:p>
    <w:pPr>
      <w:jc w:val="center"/>
      <w:spacing w:after="120"/>
      <w:pBdr>
        <w:bottom w:val="single" w:sz="4" w:space="1" w:color="999999"/>
      </w:pBdr>
    </w:pPr>
    <w:r>
      <w:rPr>
        <w:rFonts w:ascii="Times New Roman" w:hAnsi="Times New Roman"/>
        <w:sz w:val="18"/>
      </w:rPr>
      <w:t xml:space="preserve">Siège social : {siege_social}</w:t>
    </w:r>
  </w:p>
</w:hdr>
</file>

<file path=word/_rels/document.xml.rels><?xml version="1.0" encoding="UTF-8" standalone="yes"?>
<Relationships xmlns="http://schemas.openxmlformats.org/package/2006/relationships">
  <Relationship Id="rId1" Type="http://schemas.openxmlformats.org/officeDocument/2006/relationships/header" Target="header1.xml"/>
  <Relationship Id="rId2" Type="http://schemas.openxmlformats.org/officeDocument/2006/relationships/footer" Target="footer1.xml"/>
</Relationships>
</file>