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LETTRE DE CONSULTATION DE LA GERANCE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 et cher(e) associé(e),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à l’article 340 de l’Acte Uniforme de l’OHADA relatif aux sociétés commerciales et au GIE, et à l’article {article_statuts} de nos statuts, j’ai l’honneur de vous adresser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texte des résolutions soumises à votre approbation, auquel est joint un bulletin de vote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la copie de mon rapport exposant l’utilité des résolutions soumises à votre approbation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copie du rapport du commissaire aux comptes (éventuellement)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(autres documents nécessaires à l’information des associés).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signale que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résolutions relatives aux décisions ordinaires ne seront prises que si elles sont adoptées par un ou plusieurs associés représentant plus de la moitié (1/2) des parts sociales, soit plus de {seuil_ordinaire} parts.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résolutions relatives aux décisions extraordinaires ne seront prises que si elles sont adoptées par un ou plusieurs associés représentant au moins les 3/4 du capital social, soit {seuil_extraordinaire} parts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Vous disposez d’un délai de {delai_reponse} jours (ce délai est de 15 jours au minimum à compter de la date de réception des projets de résolution) pour émettre votre vote, lequel doit me parvenir au plus tard le {date_limite_reponse}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Après dépouillement des votes, le procès-verbal de la consultation sera établi par mes soins et vous serez immédiatement avisés du résultat du vote.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{destinataire_civilite} {destinataire_prenom} {destinataire_nom} et cher(e) associé(e), l’expression de ma considération distinguée.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{gerant_civilite} {gerant_prenom} {gerant_nom}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P.J. : {pieces_jointes}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Lettre consultation gérance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