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A3A5C"/>
          <w:sz w:val="44"/>
          <w:szCs w:val="44"/>
        </w:rPr>
        <w:t xml:space="preserve">CONDITIONS GÉNÉRALES DE VENTE</w:t>
      </w:r>
    </w:p>
    <w:p>
      <w:pPr>
        <w:spacing w:after="120"/>
        <w:jc w:val="center"/>
      </w:pPr>
      <w:r>
        <w:rPr>
          <w:b/>
          <w:bCs/>
          <w:color w:val="D4A843"/>
          <w:sz w:val="32"/>
          <w:szCs w:val="32"/>
        </w:rPr>
        <w:t xml:space="preserve">NORMX AI</w:t>
      </w:r>
    </w:p>
    <w:p>
      <w:pPr>
        <w:spacing w:after="240"/>
        <w:jc w:val="center"/>
      </w:pPr>
      <w:r>
        <w:rPr>
          <w:i/>
          <w:iCs/>
          <w:sz w:val="22"/>
          <w:szCs w:val="22"/>
        </w:rPr>
        <w:t xml:space="preserve">Applicables aux Services NormX Tax, NormX Finance et NormX Legal</w:t>
      </w:r>
    </w:p>
    <w:p>
      <w:pPr>
        <w:spacing w:after="480"/>
        <w:jc w:val="center"/>
      </w:pPr>
      <w:r>
        <w:rPr>
          <w:i/>
          <w:iCs/>
          <w:sz w:val="20"/>
          <w:szCs w:val="20"/>
        </w:rPr>
        <w:t xml:space="preserve">Version 1.0 — En vigueur au 22 avril 2026</w:t>
      </w:r>
    </w:p>
    <w:p>
      <w:pPr>
        <w:pStyle w:val="Heading1"/>
        <w:spacing w:after="240" w:before="360"/>
      </w:pPr>
      <w:r>
        <w:rPr>
          <w:b/>
          <w:bCs/>
          <w:color w:val="1A3A5C"/>
          <w:sz w:val="32"/>
          <w:szCs w:val="32"/>
        </w:rPr>
        <w:t xml:space="preserve">SOMMAIRE</w:t>
      </w:r>
    </w:p>
    <w:p>
      <w:pPr>
        <w:spacing w:after="120" w:line="300"/>
        <w:jc w:val="both"/>
      </w:pPr>
      <w:r>
        <w:rPr>
          <w:sz w:val="22"/>
          <w:szCs w:val="22"/>
        </w:rPr>
        <w:t xml:space="preserve">CORPS PRINCIPAL — Conditions communes aux trois Services</w:t>
      </w:r>
    </w:p>
    <w:p>
      <w:pPr>
        <w:pStyle w:val="ListParagraph"/>
        <w:numPr>
          <w:ilvl w:val="0"/>
          <w:numId w:val="2"/>
        </w:numPr>
        <w:spacing w:after="80" w:line="280"/>
      </w:pPr>
      <w:r>
        <w:rPr>
          <w:sz w:val="22"/>
          <w:szCs w:val="22"/>
        </w:rPr>
        <w:t xml:space="preserve">Article 1 — Identification de l'éditeur</w:t>
      </w:r>
    </w:p>
    <w:p>
      <w:pPr>
        <w:pStyle w:val="ListParagraph"/>
        <w:numPr>
          <w:ilvl w:val="0"/>
          <w:numId w:val="2"/>
        </w:numPr>
        <w:spacing w:after="80" w:line="280"/>
      </w:pPr>
      <w:r>
        <w:rPr>
          <w:sz w:val="22"/>
          <w:szCs w:val="22"/>
        </w:rPr>
        <w:t xml:space="preserve">Article 2 — Définitions</w:t>
      </w:r>
    </w:p>
    <w:p>
      <w:pPr>
        <w:pStyle w:val="ListParagraph"/>
        <w:numPr>
          <w:ilvl w:val="0"/>
          <w:numId w:val="2"/>
        </w:numPr>
        <w:spacing w:after="80" w:line="280"/>
      </w:pPr>
      <w:r>
        <w:rPr>
          <w:sz w:val="22"/>
          <w:szCs w:val="22"/>
        </w:rPr>
        <w:t xml:space="preserve">Article 3 — Objet</w:t>
      </w:r>
    </w:p>
    <w:p>
      <w:pPr>
        <w:pStyle w:val="ListParagraph"/>
        <w:numPr>
          <w:ilvl w:val="0"/>
          <w:numId w:val="2"/>
        </w:numPr>
        <w:spacing w:after="80" w:line="280"/>
      </w:pPr>
      <w:r>
        <w:rPr>
          <w:sz w:val="22"/>
          <w:szCs w:val="22"/>
        </w:rPr>
        <w:t xml:space="preserve">Article 4 — Services proposés</w:t>
      </w:r>
    </w:p>
    <w:p>
      <w:pPr>
        <w:pStyle w:val="ListParagraph"/>
        <w:numPr>
          <w:ilvl w:val="0"/>
          <w:numId w:val="2"/>
        </w:numPr>
        <w:spacing w:after="80" w:line="280"/>
      </w:pPr>
      <w:r>
        <w:rPr>
          <w:sz w:val="22"/>
          <w:szCs w:val="22"/>
        </w:rPr>
        <w:t xml:space="preserve">Article 5 — Souscription et formation du contrat</w:t>
      </w:r>
    </w:p>
    <w:p>
      <w:pPr>
        <w:pStyle w:val="ListParagraph"/>
        <w:numPr>
          <w:ilvl w:val="0"/>
          <w:numId w:val="2"/>
        </w:numPr>
        <w:spacing w:after="80" w:line="280"/>
      </w:pPr>
      <w:r>
        <w:rPr>
          <w:sz w:val="22"/>
          <w:szCs w:val="22"/>
        </w:rPr>
        <w:t xml:space="preserve">Article 6 — Conditions financières</w:t>
      </w:r>
    </w:p>
    <w:p>
      <w:pPr>
        <w:pStyle w:val="ListParagraph"/>
        <w:numPr>
          <w:ilvl w:val="0"/>
          <w:numId w:val="2"/>
        </w:numPr>
        <w:spacing w:after="80" w:line="280"/>
      </w:pPr>
      <w:r>
        <w:rPr>
          <w:sz w:val="22"/>
          <w:szCs w:val="22"/>
        </w:rPr>
        <w:t xml:space="preserve">Article 7 — Paiement</w:t>
      </w:r>
    </w:p>
    <w:p>
      <w:pPr>
        <w:pStyle w:val="ListParagraph"/>
        <w:numPr>
          <w:ilvl w:val="0"/>
          <w:numId w:val="2"/>
        </w:numPr>
        <w:spacing w:after="80" w:line="280"/>
      </w:pPr>
      <w:r>
        <w:rPr>
          <w:sz w:val="22"/>
          <w:szCs w:val="22"/>
        </w:rPr>
        <w:t xml:space="preserve">Article 8 — Durée, reconduction et résiliation</w:t>
      </w:r>
    </w:p>
    <w:p>
      <w:pPr>
        <w:pStyle w:val="ListParagraph"/>
        <w:numPr>
          <w:ilvl w:val="0"/>
          <w:numId w:val="2"/>
        </w:numPr>
        <w:spacing w:after="80" w:line="280"/>
      </w:pPr>
      <w:r>
        <w:rPr>
          <w:sz w:val="22"/>
          <w:szCs w:val="22"/>
        </w:rPr>
        <w:t xml:space="preserve">Article 9 — Droit de rétractation</w:t>
      </w:r>
    </w:p>
    <w:p>
      <w:pPr>
        <w:pStyle w:val="ListParagraph"/>
        <w:numPr>
          <w:ilvl w:val="0"/>
          <w:numId w:val="2"/>
        </w:numPr>
        <w:spacing w:after="80" w:line="280"/>
      </w:pPr>
      <w:r>
        <w:rPr>
          <w:sz w:val="22"/>
          <w:szCs w:val="22"/>
        </w:rPr>
        <w:t xml:space="preserve">Article 10 — Accès aux Services et disponibilité</w:t>
      </w:r>
    </w:p>
    <w:p>
      <w:pPr>
        <w:pStyle w:val="ListParagraph"/>
        <w:numPr>
          <w:ilvl w:val="0"/>
          <w:numId w:val="2"/>
        </w:numPr>
        <w:spacing w:after="80" w:line="280"/>
      </w:pPr>
      <w:r>
        <w:rPr>
          <w:sz w:val="22"/>
          <w:szCs w:val="22"/>
        </w:rPr>
        <w:t xml:space="preserve">Article 11 — Obligations du Client</w:t>
      </w:r>
    </w:p>
    <w:p>
      <w:pPr>
        <w:pStyle w:val="ListParagraph"/>
        <w:numPr>
          <w:ilvl w:val="0"/>
          <w:numId w:val="2"/>
        </w:numPr>
        <w:spacing w:after="80" w:line="280"/>
      </w:pPr>
      <w:r>
        <w:rPr>
          <w:sz w:val="22"/>
          <w:szCs w:val="22"/>
        </w:rPr>
        <w:t xml:space="preserve">Article 12 — Propriété intellectuelle</w:t>
      </w:r>
    </w:p>
    <w:p>
      <w:pPr>
        <w:pStyle w:val="ListParagraph"/>
        <w:numPr>
          <w:ilvl w:val="0"/>
          <w:numId w:val="2"/>
        </w:numPr>
        <w:spacing w:after="80" w:line="280"/>
      </w:pPr>
      <w:r>
        <w:rPr>
          <w:sz w:val="22"/>
          <w:szCs w:val="22"/>
        </w:rPr>
        <w:t xml:space="preserve">Article 13 — Responsabilité et garanties</w:t>
      </w:r>
    </w:p>
    <w:p>
      <w:pPr>
        <w:pStyle w:val="ListParagraph"/>
        <w:numPr>
          <w:ilvl w:val="0"/>
          <w:numId w:val="2"/>
        </w:numPr>
        <w:spacing w:after="80" w:line="280"/>
      </w:pPr>
      <w:r>
        <w:rPr>
          <w:sz w:val="22"/>
          <w:szCs w:val="22"/>
        </w:rPr>
        <w:t xml:space="preserve">Article 14 — Données personnelles</w:t>
      </w:r>
    </w:p>
    <w:p>
      <w:pPr>
        <w:pStyle w:val="ListParagraph"/>
        <w:numPr>
          <w:ilvl w:val="0"/>
          <w:numId w:val="2"/>
        </w:numPr>
        <w:spacing w:after="80" w:line="280"/>
      </w:pPr>
      <w:r>
        <w:rPr>
          <w:sz w:val="22"/>
          <w:szCs w:val="22"/>
        </w:rPr>
        <w:t xml:space="preserve">Article 15 — Force majeure</w:t>
      </w:r>
    </w:p>
    <w:p>
      <w:pPr>
        <w:pStyle w:val="ListParagraph"/>
        <w:numPr>
          <w:ilvl w:val="0"/>
          <w:numId w:val="2"/>
        </w:numPr>
        <w:spacing w:after="80" w:line="280"/>
      </w:pPr>
      <w:r>
        <w:rPr>
          <w:sz w:val="22"/>
          <w:szCs w:val="22"/>
        </w:rPr>
        <w:t xml:space="preserve">Article 16 — Modification des CGV</w:t>
      </w:r>
    </w:p>
    <w:p>
      <w:pPr>
        <w:pStyle w:val="ListParagraph"/>
        <w:numPr>
          <w:ilvl w:val="0"/>
          <w:numId w:val="2"/>
        </w:numPr>
        <w:spacing w:after="80" w:line="280"/>
      </w:pPr>
      <w:r>
        <w:rPr>
          <w:sz w:val="22"/>
          <w:szCs w:val="22"/>
        </w:rPr>
        <w:t xml:space="preserve">Article 17 — Droit applicable et litiges</w:t>
      </w:r>
    </w:p>
    <w:p>
      <w:pPr>
        <w:pStyle w:val="ListParagraph"/>
        <w:numPr>
          <w:ilvl w:val="0"/>
          <w:numId w:val="2"/>
        </w:numPr>
        <w:spacing w:after="80" w:line="280"/>
      </w:pPr>
      <w:r>
        <w:rPr>
          <w:sz w:val="22"/>
          <w:szCs w:val="22"/>
        </w:rPr>
        <w:t xml:space="preserve">Article 18 — Dispositions diverses</w:t>
      </w:r>
    </w:p>
    <w:p>
      <w:pPr>
        <w:spacing w:after="120" w:line="300"/>
        <w:jc w:val="both"/>
      </w:pPr>
      <w:r>
        <w:rPr>
          <w:sz w:val="22"/>
          <w:szCs w:val="22"/>
        </w:rPr>
        <w:t xml:space="preserve"/>
      </w:r>
    </w:p>
    <w:p>
      <w:pPr>
        <w:spacing w:after="120" w:line="300"/>
        <w:jc w:val="both"/>
      </w:pPr>
      <w:r>
        <w:rPr>
          <w:b/>
          <w:bCs/>
          <w:sz w:val="22"/>
          <w:szCs w:val="22"/>
        </w:rPr>
        <w:t xml:space="preserve">ANNEXES — Conditions spécifiques par Service</w:t>
      </w:r>
    </w:p>
    <w:p>
      <w:pPr>
        <w:pStyle w:val="ListParagraph"/>
        <w:numPr>
          <w:ilvl w:val="0"/>
          <w:numId w:val="2"/>
        </w:numPr>
        <w:spacing w:after="80" w:line="280"/>
      </w:pPr>
      <w:r>
        <w:rPr>
          <w:sz w:val="22"/>
          <w:szCs w:val="22"/>
        </w:rPr>
        <w:t xml:space="preserve">Annexe A — Conditions spécifiques à NormX Tax</w:t>
      </w:r>
    </w:p>
    <w:p>
      <w:pPr>
        <w:pStyle w:val="ListParagraph"/>
        <w:numPr>
          <w:ilvl w:val="0"/>
          <w:numId w:val="2"/>
        </w:numPr>
        <w:spacing w:after="80" w:line="280"/>
      </w:pPr>
      <w:r>
        <w:rPr>
          <w:sz w:val="22"/>
          <w:szCs w:val="22"/>
        </w:rPr>
        <w:t xml:space="preserve">Annexe B — Conditions spécifiques à NormX Finance</w:t>
      </w:r>
    </w:p>
    <w:p>
      <w:pPr>
        <w:pStyle w:val="ListParagraph"/>
        <w:numPr>
          <w:ilvl w:val="0"/>
          <w:numId w:val="2"/>
        </w:numPr>
        <w:spacing w:after="80" w:line="280"/>
      </w:pPr>
      <w:r>
        <w:rPr>
          <w:sz w:val="22"/>
          <w:szCs w:val="22"/>
        </w:rPr>
        <w:t xml:space="preserve">Annexe C — Conditions spécifiques à NormX Legal</w:t>
      </w:r>
    </w:p>
    <w:p>
      <w:pPr>
        <w:pStyle w:val="ListParagraph"/>
        <w:numPr>
          <w:ilvl w:val="0"/>
          <w:numId w:val="2"/>
        </w:numPr>
        <w:spacing w:after="80" w:line="280"/>
      </w:pPr>
      <w:r>
        <w:rPr>
          <w:sz w:val="22"/>
          <w:szCs w:val="22"/>
        </w:rPr>
        <w:t xml:space="preserve">Annexe D — Formulaire de rétractation</w:t>
      </w:r>
    </w:p>
    <w:p>
      <w:r>
        <w:br w:type="page"/>
      </w:r>
    </w:p>
    <w:p>
      <w:pPr>
        <w:pStyle w:val="Heading1"/>
        <w:spacing w:after="240" w:before="360"/>
      </w:pPr>
      <w:r>
        <w:rPr>
          <w:b/>
          <w:bCs/>
          <w:color w:val="1A3A5C"/>
          <w:sz w:val="32"/>
          <w:szCs w:val="32"/>
        </w:rPr>
        <w:t xml:space="preserve">PRÉAMBULE</w:t>
      </w:r>
    </w:p>
    <w:p>
      <w:pPr>
        <w:spacing w:after="120" w:line="300"/>
        <w:jc w:val="both"/>
      </w:pPr>
      <w:r>
        <w:rPr>
          <w:sz w:val="22"/>
          <w:szCs w:val="22"/>
        </w:rPr>
        <w:t xml:space="preserve">Les présentes Conditions Générales de Vente (ci-après « CGV ») régissent l'ensemble des relations contractuelles entre la société NORMX AI et toute personne physique ou morale souscrivant à l'un des Services suivants :</w:t>
      </w:r>
    </w:p>
    <w:p>
      <w:pPr>
        <w:pStyle w:val="ListParagraph"/>
        <w:numPr>
          <w:ilvl w:val="0"/>
          <w:numId w:val="2"/>
        </w:numPr>
        <w:spacing w:after="80" w:line="280"/>
      </w:pPr>
      <w:r>
        <w:rPr>
          <w:b/>
          <w:bCs/>
          <w:sz w:val="22"/>
          <w:szCs w:val="22"/>
        </w:rPr>
        <w:t xml:space="preserve">NormX Tax</w:t>
      </w:r>
      <w:r>
        <w:rPr>
          <w:sz w:val="22"/>
          <w:szCs w:val="22"/>
        </w:rPr>
        <w:t xml:space="preserve"> — plateforme d'assistance fiscale par intelligence artificielle, accessible à l'adresse tax.normx-ai.com</w:t>
      </w:r>
    </w:p>
    <w:p>
      <w:pPr>
        <w:pStyle w:val="ListParagraph"/>
        <w:numPr>
          <w:ilvl w:val="0"/>
          <w:numId w:val="2"/>
        </w:numPr>
        <w:spacing w:after="80" w:line="280"/>
      </w:pPr>
      <w:r>
        <w:rPr>
          <w:b/>
          <w:bCs/>
          <w:sz w:val="22"/>
          <w:szCs w:val="22"/>
        </w:rPr>
        <w:t xml:space="preserve">NormX Finance</w:t>
      </w:r>
      <w:r>
        <w:rPr>
          <w:sz w:val="22"/>
          <w:szCs w:val="22"/>
        </w:rPr>
        <w:t xml:space="preserve"> — plateforme de gestion comptable, paie et production d'états financiers SYSCOHADA, accessible à l'adresse app.normx-ai.com</w:t>
      </w:r>
    </w:p>
    <w:p>
      <w:pPr>
        <w:pStyle w:val="ListParagraph"/>
        <w:numPr>
          <w:ilvl w:val="0"/>
          <w:numId w:val="2"/>
        </w:numPr>
        <w:spacing w:after="80" w:line="280"/>
      </w:pPr>
      <w:r>
        <w:rPr>
          <w:b/>
          <w:bCs/>
          <w:sz w:val="22"/>
          <w:szCs w:val="22"/>
        </w:rPr>
        <w:t xml:space="preserve">NormX Legal</w:t>
      </w:r>
      <w:r>
        <w:rPr>
          <w:sz w:val="22"/>
          <w:szCs w:val="22"/>
        </w:rPr>
        <w:t xml:space="preserve"> — plateforme d'assistance juridique OHADA et de génération d'actes de sociétés commerciales, accessible à l'adresse legal.normx-ai.com</w:t>
      </w:r>
    </w:p>
    <w:p>
      <w:pPr>
        <w:spacing w:after="120" w:line="300"/>
        <w:jc w:val="both"/>
      </w:pPr>
      <w:r>
        <w:rPr>
          <w:sz w:val="22"/>
          <w:szCs w:val="22"/>
        </w:rPr>
        <w:t xml:space="preserve">Les présentes CGV se composent d'un corps principal applicable à l'ensemble des Services, et d'annexes spécifiques à chaque Service. En cas de contradiction entre le corps principal et une annexe, les stipulations de l'annexe prévalent pour le Service concerné.</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En validant sa commande, le Client reconnaît avoir lu, compris et accepté sans réserve l'intégralité des présentes CGV ainsi que l'annexe correspondant au Service souscrit. Les CGV prévalent sur toutes conditions d'achat ou autres documents du Client.</w:t>
      </w:r>
    </w:p>
    <w:p>
      <w:pPr>
        <w:pStyle w:val="Heading1"/>
        <w:spacing w:after="240" w:before="360"/>
      </w:pPr>
      <w:r>
        <w:rPr>
          <w:b/>
          <w:bCs/>
          <w:color w:val="1A3A5C"/>
          <w:sz w:val="32"/>
          <w:szCs w:val="32"/>
        </w:rPr>
        <w:t xml:space="preserve">ARTICLE 1 — IDENTIFICATION DE L'ÉDITEUR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Dénomination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AI</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Sigle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Forme juridique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Société par Actions Simplifiée (SAS)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Capital social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1 000,00 euros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Siège social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71 rue Daire, 80000 Amiens, France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SIREN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103 831 921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RCS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Amiens (2026B00524)</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EUID</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FR8002.103831921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TVA intracommunautaire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[en cours d'attribution]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Présidente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Madame Cécile MBOUITY épouse MAKOSSO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Marque déposée</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NORMX AI — INPI n° 5146181</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Contact général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contact@normx-ai.com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Support client</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support@normx-ai.com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Réclamations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reclamation@normx-ai.com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Protection des données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dpo@normx-ai.com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Hébergeur</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OVH SAS, 2 rue Kellermann, 59100 Roubaix, France</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ARTICLE 2 — DÉFINITIONS</w:t>
      </w:r>
    </w:p>
    <w:p>
      <w:pPr>
        <w:spacing w:after="120" w:line="300"/>
        <w:jc w:val="both"/>
      </w:pPr>
      <w:r>
        <w:rPr>
          <w:sz w:val="22"/>
          <w:szCs w:val="22"/>
        </w:rPr>
        <w:t xml:space="preserve">Dans les présentes CGV, les termes suivants, employés avec une majuscule, auront la signification ci-après :</w:t>
      </w:r>
    </w:p>
    <w:p>
      <w:pPr>
        <w:spacing w:after="100" w:line="280"/>
        <w:jc w:val="both"/>
      </w:pPr>
      <w:r>
        <w:rPr>
          <w:b/>
          <w:bCs/>
          <w:sz w:val="22"/>
          <w:szCs w:val="22"/>
        </w:rPr>
        <w:t xml:space="preserve">« NORMX AI » : </w:t>
      </w:r>
      <w:r>
        <w:rPr>
          <w:sz w:val="22"/>
          <w:szCs w:val="22"/>
        </w:rPr>
        <w:t xml:space="preserve">La société NORMX AI, SAS, éditrice des Services.</w:t>
      </w:r>
    </w:p>
    <w:p>
      <w:pPr>
        <w:spacing w:after="100" w:line="280"/>
        <w:jc w:val="both"/>
      </w:pPr>
      <w:r>
        <w:rPr>
          <w:b/>
          <w:bCs/>
          <w:sz w:val="22"/>
          <w:szCs w:val="22"/>
        </w:rPr>
        <w:t xml:space="preserve">« Abonné / Client » : </w:t>
      </w:r>
      <w:r>
        <w:rPr>
          <w:sz w:val="22"/>
          <w:szCs w:val="22"/>
        </w:rPr>
        <w:t xml:space="preserve">Toute personne physique ou morale ayant souscrit à une Formule d'Abonnement ou à un Pack de Crédits sur l'un des Services.</w:t>
      </w:r>
    </w:p>
    <w:p>
      <w:pPr>
        <w:spacing w:after="100" w:line="280"/>
        <w:jc w:val="both"/>
      </w:pPr>
      <w:r>
        <w:rPr>
          <w:b/>
          <w:bCs/>
          <w:sz w:val="22"/>
          <w:szCs w:val="22"/>
        </w:rPr>
        <w:t xml:space="preserve">« Services » : </w:t>
      </w:r>
      <w:r>
        <w:rPr>
          <w:sz w:val="22"/>
          <w:szCs w:val="22"/>
        </w:rPr>
        <w:t xml:space="preserve">L'ensemble des plateformes SaaS éditées par NORMX AI : NormX Tax, NormX Finance et NormX Legal.</w:t>
      </w:r>
    </w:p>
    <w:p>
      <w:pPr>
        <w:spacing w:after="100" w:line="280"/>
        <w:jc w:val="both"/>
      </w:pPr>
      <w:r>
        <w:rPr>
          <w:b/>
          <w:bCs/>
          <w:sz w:val="22"/>
          <w:szCs w:val="22"/>
        </w:rPr>
        <w:t xml:space="preserve">« Service » : </w:t>
      </w:r>
      <w:r>
        <w:rPr>
          <w:sz w:val="22"/>
          <w:szCs w:val="22"/>
        </w:rPr>
        <w:t xml:space="preserve">L'un des trois produits : NormX Tax, NormX Finance ou NormX Legal, selon le contexte.</w:t>
      </w:r>
    </w:p>
    <w:p>
      <w:pPr>
        <w:spacing w:after="100" w:line="280"/>
        <w:jc w:val="both"/>
      </w:pPr>
      <w:r>
        <w:rPr>
          <w:b/>
          <w:bCs/>
          <w:sz w:val="22"/>
          <w:szCs w:val="22"/>
        </w:rPr>
        <w:t xml:space="preserve">« Suite NormX » : </w:t>
      </w:r>
      <w:r>
        <w:rPr>
          <w:sz w:val="22"/>
          <w:szCs w:val="22"/>
        </w:rPr>
        <w:t xml:space="preserve">L'ensemble cohérent des trois Services partageant une infrastructure technique commune et un compte utilisateur unifié.</w:t>
      </w:r>
    </w:p>
    <w:p>
      <w:pPr>
        <w:spacing w:after="100" w:line="280"/>
        <w:jc w:val="both"/>
      </w:pPr>
      <w:r>
        <w:rPr>
          <w:b/>
          <w:bCs/>
          <w:sz w:val="22"/>
          <w:szCs w:val="22"/>
        </w:rPr>
        <w:t xml:space="preserve">« Compte » : </w:t>
      </w:r>
      <w:r>
        <w:rPr>
          <w:sz w:val="22"/>
          <w:szCs w:val="22"/>
        </w:rPr>
        <w:t xml:space="preserve">Espace personnel sécurisé du Client accessible après authentification, permettant d'utiliser les Services.</w:t>
      </w:r>
    </w:p>
    <w:p>
      <w:pPr>
        <w:spacing w:after="100" w:line="280"/>
        <w:jc w:val="both"/>
      </w:pPr>
      <w:r>
        <w:rPr>
          <w:b/>
          <w:bCs/>
          <w:sz w:val="22"/>
          <w:szCs w:val="22"/>
        </w:rPr>
        <w:t xml:space="preserve">« Crédits » : </w:t>
      </w:r>
      <w:r>
        <w:rPr>
          <w:sz w:val="22"/>
          <w:szCs w:val="22"/>
        </w:rPr>
        <w:t xml:space="preserve">Unités de consommation permettant d'accéder à certaines fonctionnalités à la demande.</w:t>
      </w:r>
    </w:p>
    <w:p>
      <w:pPr>
        <w:spacing w:after="100" w:line="280"/>
        <w:jc w:val="both"/>
      </w:pPr>
      <w:r>
        <w:rPr>
          <w:b/>
          <w:bCs/>
          <w:sz w:val="22"/>
          <w:szCs w:val="22"/>
        </w:rPr>
        <w:t xml:space="preserve">« Formule d'Abonnement » : </w:t>
      </w:r>
      <w:r>
        <w:rPr>
          <w:sz w:val="22"/>
          <w:szCs w:val="22"/>
        </w:rPr>
        <w:t xml:space="preserve">Offre récurrente donnant accès à un périmètre défini de fonctionnalités pour une période déterminée.</w:t>
      </w:r>
    </w:p>
    <w:p>
      <w:pPr>
        <w:spacing w:after="100" w:line="280"/>
        <w:jc w:val="both"/>
      </w:pPr>
      <w:r>
        <w:rPr>
          <w:b/>
          <w:bCs/>
          <w:sz w:val="22"/>
          <w:szCs w:val="22"/>
        </w:rPr>
        <w:t xml:space="preserve">« Formule Découverte » : </w:t>
      </w:r>
      <w:r>
        <w:rPr>
          <w:sz w:val="22"/>
          <w:szCs w:val="22"/>
        </w:rPr>
        <w:t xml:space="preserve">Offre gratuite à durée limitée permettant un accès restreint à des fins d'évaluation.</w:t>
      </w:r>
    </w:p>
    <w:p>
      <w:pPr>
        <w:spacing w:after="100" w:line="280"/>
        <w:jc w:val="both"/>
      </w:pPr>
      <w:r>
        <w:rPr>
          <w:b/>
          <w:bCs/>
          <w:sz w:val="22"/>
          <w:szCs w:val="22"/>
        </w:rPr>
        <w:t xml:space="preserve">« Consommateur » : </w:t>
      </w:r>
      <w:r>
        <w:rPr>
          <w:sz w:val="22"/>
          <w:szCs w:val="22"/>
        </w:rPr>
        <w:t xml:space="preserve">Au sens de l'article liminaire du Code de la consommation français, toute personne physique agissant à des fins qui n'entrent pas dans le cadre de son activité professionnelle.</w:t>
      </w:r>
    </w:p>
    <w:p>
      <w:pPr>
        <w:spacing w:after="100" w:line="280"/>
        <w:jc w:val="both"/>
      </w:pPr>
      <w:r>
        <w:rPr>
          <w:b/>
          <w:bCs/>
          <w:sz w:val="22"/>
          <w:szCs w:val="22"/>
        </w:rPr>
        <w:t xml:space="preserve">« Professionnel » : </w:t>
      </w:r>
      <w:r>
        <w:rPr>
          <w:sz w:val="22"/>
          <w:szCs w:val="22"/>
        </w:rPr>
        <w:t xml:space="preserve">Toute personne physique ou morale agissant à des fins entrant dans le cadre de son activité professionnelle.</w:t>
      </w:r>
    </w:p>
    <w:p>
      <w:pPr>
        <w:spacing w:after="100" w:line="280"/>
        <w:jc w:val="both"/>
      </w:pPr>
      <w:r>
        <w:rPr>
          <w:b/>
          <w:bCs/>
          <w:sz w:val="22"/>
          <w:szCs w:val="22"/>
        </w:rPr>
        <w:t xml:space="preserve">« Contenus IA » : </w:t>
      </w:r>
      <w:r>
        <w:rPr>
          <w:sz w:val="22"/>
          <w:szCs w:val="22"/>
        </w:rPr>
        <w:t xml:space="preserve">Toute réponse, analyse, simulation, état financier ou document généré automatiquement par les agents d'intelligence artificielle des Services.</w:t>
      </w:r>
    </w:p>
    <w:p>
      <w:pPr>
        <w:pStyle w:val="Heading1"/>
        <w:spacing w:after="240" w:before="360"/>
      </w:pPr>
      <w:r>
        <w:rPr>
          <w:b/>
          <w:bCs/>
          <w:color w:val="1A3A5C"/>
          <w:sz w:val="32"/>
          <w:szCs w:val="32"/>
        </w:rPr>
        <w:t xml:space="preserve">ARTICLE 3 — OBJET</w:t>
      </w:r>
    </w:p>
    <w:p>
      <w:pPr>
        <w:spacing w:after="120" w:line="300"/>
        <w:jc w:val="both"/>
      </w:pPr>
      <w:r>
        <w:rPr>
          <w:sz w:val="22"/>
          <w:szCs w:val="22"/>
        </w:rPr>
        <w:t xml:space="preserve">Les présentes CGV ont pour objet de définir les conditions dans lesquelles NORMX AI fournit au Client l'accès aux Services ainsi que les droits et obligations des parties dans le cadre de cette fourniture.</w:t>
      </w:r>
    </w:p>
    <w:p>
      <w:pPr>
        <w:spacing w:after="120" w:line="300"/>
        <w:jc w:val="both"/>
      </w:pPr>
      <w:r>
        <w:rPr>
          <w:sz w:val="22"/>
          <w:szCs w:val="22"/>
        </w:rPr>
        <w:t xml:space="preserve">Elles s'appliquent à toute souscription, qu'elle émane d'un Professionnel (B2B) ou d'un Consommateur (B2C), en France, dans l'Union européenne, en zone CEMAC/OHADA ou dans tout autre pays où les Services sont accessibles.</w:t>
      </w:r>
    </w:p>
    <w:p>
      <w:pPr>
        <w:pStyle w:val="Heading1"/>
        <w:spacing w:after="240" w:before="360"/>
      </w:pPr>
      <w:r>
        <w:rPr>
          <w:b/>
          <w:bCs/>
          <w:color w:val="1A3A5C"/>
          <w:sz w:val="32"/>
          <w:szCs w:val="32"/>
        </w:rPr>
        <w:t xml:space="preserve">ARTICLE 4 — SERVICES PROPOSÉS</w:t>
      </w:r>
    </w:p>
    <w:p>
      <w:pPr>
        <w:pStyle w:val="Heading2"/>
        <w:spacing w:after="160" w:before="280"/>
      </w:pPr>
      <w:r>
        <w:rPr>
          <w:b/>
          <w:bCs/>
          <w:color w:val="1A3A5C"/>
          <w:sz w:val="26"/>
          <w:szCs w:val="26"/>
        </w:rPr>
        <w:t xml:space="preserve">4.1 Suite NormX</w:t>
      </w:r>
    </w:p>
    <w:p>
      <w:pPr>
        <w:spacing w:after="120" w:line="300"/>
        <w:jc w:val="both"/>
      </w:pPr>
      <w:r>
        <w:rPr>
          <w:sz w:val="22"/>
          <w:szCs w:val="22"/>
        </w:rPr>
        <w:t xml:space="preserve">NORMX AI édite une suite logicielle SaaS (Software as a Service) d'aide à la décision fiscale, comptable, financière et juridique, spécialisée sur les zones OHADA et CEMAC, et accessible via trois Services complémentaires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Service</w:t>
            </w:r>
          </w:p>
        </w:tc>
        <w:tc>
          <w:tcPr>
            <w:tcW w:type="dxa" w:w="2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Domaine</w:t>
            </w:r>
          </w:p>
        </w:tc>
        <w:tc>
          <w:tcPr>
            <w:tcW w:type="dxa" w:w="516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Objet principal</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NormX Tax</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tax.normx-ai.com</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Assistance fiscale par intelligence artificielle : interprétation du CGI, simulateurs de calcul, audits de conformité fiscale, accès à la documentation fiscale OHADA/CEMAC.</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NormX Finance</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app.normx-ai.com</w:t>
            </w:r>
          </w:p>
        </w:tc>
        <w:tc>
          <w:tcPr>
            <w:tcW w:type="dxa" w:w="51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Production d'états financiers SYSCOHADA (bilan, compte de résultat, TAFIRE, annexes), tenue de comptabilité générale selon l'Acte uniforme OHADA, gestion de la paie.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NormX Legal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legal.normx-ai.com</w:t>
            </w:r>
          </w:p>
        </w:tc>
        <w:tc>
          <w:tcPr>
            <w:tcW w:type="dxa" w:w="5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Assistance juridique par intelligence artificielle sur le droit OHADA des sociétés commerciales, génération d'actes conformes au Journal Officiel OHADA (statuts, PV, cessions de parts, conventions).</w:t>
            </w:r>
          </w:p>
        </w:tc>
      </w:tr>
    </w:tbl>
    <w:p>
      <w:pPr>
        <w:spacing w:after="120" w:line="300"/>
        <w:jc w:val="both"/>
      </w:pPr>
      <w:r>
        <w:rPr>
          <w:sz w:val="22"/>
          <w:szCs w:val="22"/>
        </w:rPr>
        <w:t xml:space="preserve"/>
      </w:r>
    </w:p>
    <w:p>
      <w:pPr>
        <w:pStyle w:val="Heading2"/>
        <w:spacing w:after="160" w:before="280"/>
      </w:pPr>
      <w:r>
        <w:rPr>
          <w:b/>
          <w:bCs/>
          <w:color w:val="1A3A5C"/>
          <w:sz w:val="26"/>
          <w:szCs w:val="26"/>
        </w:rPr>
        <w:t xml:space="preserve">4.2 Description fonctionnelle détaillée</w:t>
      </w:r>
    </w:p>
    <w:p>
      <w:pPr>
        <w:spacing w:after="120" w:line="300"/>
        <w:jc w:val="both"/>
      </w:pPr>
      <w:r>
        <w:rPr>
          <w:sz w:val="22"/>
          <w:szCs w:val="22"/>
        </w:rPr>
        <w:t xml:space="preserve">La description fonctionnelle détaillée de chaque Service, ses fonctionnalités précises, ses quotas, ses limitations éventuelles et ses prérequis techniques figurent dans les annexes A, B et C des présentes CGV.</w:t>
      </w:r>
    </w:p>
    <w:p>
      <w:pPr>
        <w:pStyle w:val="Heading2"/>
        <w:spacing w:after="160" w:before="280"/>
      </w:pPr>
      <w:r>
        <w:rPr>
          <w:b/>
          <w:bCs/>
          <w:color w:val="1A3A5C"/>
          <w:sz w:val="26"/>
          <w:szCs w:val="26"/>
        </w:rPr>
        <w:t xml:space="preserve">4.3 Avertissement sur la nature des Contenus IA</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Les Contenus IA constituent une AIDE À LA DÉCISION et ne sauraient en aucun cas se substituer au conseil personnalisé d'un professionnel qualifié (expert-comptable, avocat fiscaliste, conseil juridique, notaire). Le Client reconnaît que les technologies d'intelligence artificielle peuvent produire des réponses imprécises, incomplètes ou obsolètes, et s'engage à faire valider toute décision à enjeu par un professionnel dûment habilité avant toute mise en œuvre.</w:t>
      </w:r>
    </w:p>
    <w:p>
      <w:pPr>
        <w:pStyle w:val="Heading2"/>
        <w:spacing w:after="160" w:before="280"/>
      </w:pPr>
      <w:r>
        <w:rPr>
          <w:b/>
          <w:bCs/>
          <w:color w:val="1A3A5C"/>
          <w:sz w:val="26"/>
          <w:szCs w:val="26"/>
        </w:rPr>
        <w:t xml:space="preserve">4.4 Évolution des Services</w:t>
      </w:r>
    </w:p>
    <w:p>
      <w:pPr>
        <w:spacing w:after="120" w:line="300"/>
        <w:jc w:val="both"/>
      </w:pPr>
      <w:r>
        <w:rPr>
          <w:sz w:val="22"/>
          <w:szCs w:val="22"/>
        </w:rPr>
        <w:t xml:space="preserve">NORMX AI se réserve le droit de faire évoluer, enrichir ou modifier les Services pour les adapter aux évolutions techniques, réglementaires ou commerciales. Ces évolutions ne constituent pas une modification substantielle du contrat dès lors qu'elles n'entraînent pas de diminution significative du périmètre souscrit.</w:t>
      </w:r>
    </w:p>
    <w:p>
      <w:pPr>
        <w:pStyle w:val="Heading1"/>
        <w:spacing w:after="240" w:before="360"/>
      </w:pPr>
      <w:r>
        <w:rPr>
          <w:b/>
          <w:bCs/>
          <w:color w:val="1A3A5C"/>
          <w:sz w:val="32"/>
          <w:szCs w:val="32"/>
        </w:rPr>
        <w:t xml:space="preserve">ARTICLE 5 — SOUSCRIPTION ET FORMATION DU CONTRAT</w:t>
      </w:r>
    </w:p>
    <w:p>
      <w:pPr>
        <w:pStyle w:val="Heading2"/>
        <w:spacing w:after="160" w:before="280"/>
      </w:pPr>
      <w:r>
        <w:rPr>
          <w:b/>
          <w:bCs/>
          <w:color w:val="1A3A5C"/>
          <w:sz w:val="26"/>
          <w:szCs w:val="26"/>
        </w:rPr>
        <w:t xml:space="preserve">5.1 Processus de souscription</w:t>
      </w:r>
    </w:p>
    <w:p>
      <w:pPr>
        <w:spacing w:after="120" w:line="300"/>
        <w:jc w:val="both"/>
      </w:pPr>
      <w:r>
        <w:rPr>
          <w:sz w:val="22"/>
          <w:szCs w:val="22"/>
        </w:rPr>
        <w:t xml:space="preserve">La souscription s'effectue en ligne selon le processus suivant :</w:t>
      </w:r>
    </w:p>
    <w:p>
      <w:pPr>
        <w:pStyle w:val="ListParagraph"/>
        <w:numPr>
          <w:ilvl w:val="0"/>
          <w:numId w:val="2"/>
        </w:numPr>
        <w:spacing w:after="80" w:line="280"/>
      </w:pPr>
      <w:r>
        <w:rPr>
          <w:sz w:val="22"/>
          <w:szCs w:val="22"/>
        </w:rPr>
        <w:t xml:space="preserve">Sélection du Service et de la Formule ou du Pack de Crédits souhaité.</w:t>
      </w:r>
    </w:p>
    <w:p>
      <w:pPr>
        <w:pStyle w:val="ListParagraph"/>
        <w:numPr>
          <w:ilvl w:val="0"/>
          <w:numId w:val="2"/>
        </w:numPr>
        <w:spacing w:after="80" w:line="280"/>
      </w:pPr>
      <w:r>
        <w:rPr>
          <w:sz w:val="22"/>
          <w:szCs w:val="22"/>
        </w:rPr>
        <w:t xml:space="preserve">Création d'un Compte ou identification si le Client dispose déjà d'un Compte (un Compte unique permet d'accéder aux trois Services).</w:t>
      </w:r>
    </w:p>
    <w:p>
      <w:pPr>
        <w:pStyle w:val="ListParagraph"/>
        <w:numPr>
          <w:ilvl w:val="0"/>
          <w:numId w:val="2"/>
        </w:numPr>
        <w:spacing w:after="80" w:line="280"/>
      </w:pPr>
      <w:r>
        <w:rPr>
          <w:sz w:val="22"/>
          <w:szCs w:val="22"/>
        </w:rPr>
        <w:t xml:space="preserve">Saisie des informations de facturation.</w:t>
      </w:r>
    </w:p>
    <w:p>
      <w:pPr>
        <w:pStyle w:val="ListParagraph"/>
        <w:numPr>
          <w:ilvl w:val="0"/>
          <w:numId w:val="2"/>
        </w:numPr>
        <w:spacing w:after="80" w:line="280"/>
      </w:pPr>
      <w:r>
        <w:rPr>
          <w:sz w:val="22"/>
          <w:szCs w:val="22"/>
        </w:rPr>
        <w:t xml:space="preserve">Acceptation expresse des CGV et de l'annexe relative au Service souscrit par case à cocher.</w:t>
      </w:r>
    </w:p>
    <w:p>
      <w:pPr>
        <w:pStyle w:val="ListParagraph"/>
        <w:numPr>
          <w:ilvl w:val="0"/>
          <w:numId w:val="2"/>
        </w:numPr>
        <w:spacing w:after="80" w:line="280"/>
      </w:pPr>
      <w:r>
        <w:rPr>
          <w:sz w:val="22"/>
          <w:szCs w:val="22"/>
        </w:rPr>
        <w:t xml:space="preserve">Paiement par carte bancaire (Stripe) ou mobile money (Lygos) selon le moyen choisi.</w:t>
      </w:r>
    </w:p>
    <w:p>
      <w:pPr>
        <w:pStyle w:val="ListParagraph"/>
        <w:numPr>
          <w:ilvl w:val="0"/>
          <w:numId w:val="2"/>
        </w:numPr>
        <w:spacing w:after="80" w:line="280"/>
      </w:pPr>
      <w:r>
        <w:rPr>
          <w:sz w:val="22"/>
          <w:szCs w:val="22"/>
        </w:rPr>
        <w:t xml:space="preserve">Confirmation de la commande par email avec facture.</w:t>
      </w:r>
    </w:p>
    <w:p>
      <w:pPr>
        <w:pStyle w:val="Heading2"/>
        <w:spacing w:after="160" w:before="280"/>
      </w:pPr>
      <w:r>
        <w:rPr>
          <w:b/>
          <w:bCs/>
          <w:color w:val="1A3A5C"/>
          <w:sz w:val="26"/>
          <w:szCs w:val="26"/>
        </w:rPr>
        <w:t xml:space="preserve">5.2 Formation du contrat</w:t>
      </w:r>
    </w:p>
    <w:p>
      <w:pPr>
        <w:spacing w:after="120" w:line="300"/>
        <w:jc w:val="both"/>
      </w:pPr>
      <w:r>
        <w:rPr>
          <w:sz w:val="22"/>
          <w:szCs w:val="22"/>
        </w:rPr>
        <w:t xml:space="preserve">Le contrat est formé à réception par le Client de l'email de confirmation de souscription. NORMX AI archive ce contrat pendant la durée légale de conservation.</w:t>
      </w:r>
    </w:p>
    <w:p>
      <w:pPr>
        <w:pStyle w:val="Heading2"/>
        <w:spacing w:after="160" w:before="280"/>
      </w:pPr>
      <w:r>
        <w:rPr>
          <w:b/>
          <w:bCs/>
          <w:color w:val="1A3A5C"/>
          <w:sz w:val="26"/>
          <w:szCs w:val="26"/>
        </w:rPr>
        <w:t xml:space="preserve">5.3 Compte unifié</w:t>
      </w:r>
    </w:p>
    <w:p>
      <w:pPr>
        <w:spacing w:after="120" w:line="300"/>
        <w:jc w:val="both"/>
      </w:pPr>
      <w:r>
        <w:rPr>
          <w:sz w:val="22"/>
          <w:szCs w:val="22"/>
        </w:rPr>
        <w:t xml:space="preserve">NORMX AI met en œuvre un système d'authentification unifié permettant au Client de gérer ses souscriptions aux trois Services depuis un même Compte. La souscription à un Service est indépendante de la souscription aux autres Services.</w:t>
      </w:r>
    </w:p>
    <w:p>
      <w:pPr>
        <w:pStyle w:val="Heading2"/>
        <w:spacing w:after="160" w:before="280"/>
      </w:pPr>
      <w:r>
        <w:rPr>
          <w:b/>
          <w:bCs/>
          <w:color w:val="1A3A5C"/>
          <w:sz w:val="26"/>
          <w:szCs w:val="26"/>
        </w:rPr>
        <w:t xml:space="preserve">5.4 Formule Découverte</w:t>
      </w:r>
    </w:p>
    <w:p>
      <w:pPr>
        <w:spacing w:after="120" w:line="300"/>
        <w:jc w:val="both"/>
      </w:pPr>
      <w:r>
        <w:rPr>
          <w:sz w:val="22"/>
          <w:szCs w:val="22"/>
        </w:rPr>
        <w:t xml:space="preserve">Les Services proposent, le cas échéant, une Formule Découverte accessible sans engagement ni saisie de moyen de paiement. Elle prend fin automatiquement à l'issue de la période indiquée, sans reconduction automatique. Le Client peut, à tout moment, basculer vers une Formule payante pour conserver son accès.</w:t>
      </w:r>
    </w:p>
    <w:p>
      <w:pPr>
        <w:pStyle w:val="Heading1"/>
        <w:spacing w:after="240" w:before="360"/>
      </w:pPr>
      <w:r>
        <w:rPr>
          <w:b/>
          <w:bCs/>
          <w:color w:val="1A3A5C"/>
          <w:sz w:val="32"/>
          <w:szCs w:val="32"/>
        </w:rPr>
        <w:t xml:space="preserve">ARTICLE 6 — CONDITIONS FINANCIÈRES</w:t>
      </w:r>
    </w:p>
    <w:p>
      <w:pPr>
        <w:pStyle w:val="Heading2"/>
        <w:spacing w:after="160" w:before="280"/>
      </w:pPr>
      <w:r>
        <w:rPr>
          <w:b/>
          <w:bCs/>
          <w:color w:val="1A3A5C"/>
          <w:sz w:val="26"/>
          <w:szCs w:val="26"/>
        </w:rPr>
        <w:t xml:space="preserve">6.1 Tarifs</w:t>
      </w:r>
    </w:p>
    <w:p>
      <w:pPr>
        <w:spacing w:after="120" w:line="300"/>
        <w:jc w:val="both"/>
      </w:pPr>
      <w:r>
        <w:rPr>
          <w:sz w:val="22"/>
          <w:szCs w:val="22"/>
        </w:rPr>
        <w:t xml:space="preserve">Les tarifs applicables à chaque Service figurent dans les annexes A, B et C des présentes CGV ainsi que sur les pages dédiées de chaque Service. Les tarifs sont exprimés en euros (EUR) ou en francs CFA (XAF) selon le moyen de paiement utilisé.</w:t>
      </w:r>
    </w:p>
    <w:p>
      <w:pPr>
        <w:pStyle w:val="Heading2"/>
        <w:spacing w:after="160" w:before="280"/>
      </w:pPr>
      <w:r>
        <w:rPr>
          <w:b/>
          <w:bCs/>
          <w:color w:val="1A3A5C"/>
          <w:sz w:val="26"/>
          <w:szCs w:val="26"/>
        </w:rPr>
        <w:t xml:space="preserve">6.2 Régime de TVA</w:t>
      </w:r>
    </w:p>
    <w:p>
      <w:pPr>
        <w:spacing w:after="120" w:line="300"/>
        <w:jc w:val="both"/>
      </w:pPr>
      <w:r>
        <w:rPr>
          <w:sz w:val="22"/>
          <w:szCs w:val="22"/>
        </w:rPr>
        <w:t xml:space="preserve">NORMX AI bénéficie du régime de franchise en base de TVA prévu par l'article 293 B du Code général des impôts français. En conséquence, la TVA n'est pas applicable sur les prestations facturées, conformément à la mention « TVA non applicable, art. 293 B du CGI ». Cette situation pourra évoluer en cas de dépassement des seuils légaux, auquel cas les tarifs seront ajustés en conséquence, avec un préavis préalable aux Clients en cours d'abonnement.</w:t>
      </w:r>
    </w:p>
    <w:p>
      <w:pPr>
        <w:pStyle w:val="Heading2"/>
        <w:spacing w:after="160" w:before="280"/>
      </w:pPr>
      <w:r>
        <w:rPr>
          <w:b/>
          <w:bCs/>
          <w:color w:val="1A3A5C"/>
          <w:sz w:val="26"/>
          <w:szCs w:val="26"/>
        </w:rPr>
        <w:t xml:space="preserve">6.3 Conversion EUR/XAF</w:t>
      </w:r>
    </w:p>
    <w:p>
      <w:pPr>
        <w:spacing w:after="120" w:line="300"/>
        <w:jc w:val="both"/>
      </w:pPr>
      <w:r>
        <w:rPr>
          <w:sz w:val="22"/>
          <w:szCs w:val="22"/>
        </w:rPr>
        <w:t xml:space="preserve">Pour les Clients établis en zone CEMAC réglant en francs CFA via Mobile Money, la conversion est effectuée au taux fixe BEAC (1 EUR = 655,957 XAF), majoré d'une éventuelle commission de change précisée au moment du paiement.</w:t>
      </w:r>
    </w:p>
    <w:p>
      <w:pPr>
        <w:pStyle w:val="Heading2"/>
        <w:spacing w:after="160" w:before="280"/>
      </w:pPr>
      <w:r>
        <w:rPr>
          <w:b/>
          <w:bCs/>
          <w:color w:val="1A3A5C"/>
          <w:sz w:val="26"/>
          <w:szCs w:val="26"/>
        </w:rPr>
        <w:t xml:space="preserve">6.4 Révision des tarifs</w:t>
      </w:r>
    </w:p>
    <w:p>
      <w:pPr>
        <w:spacing w:after="120" w:line="300"/>
        <w:jc w:val="both"/>
      </w:pPr>
      <w:r>
        <w:rPr>
          <w:sz w:val="22"/>
          <w:szCs w:val="22"/>
        </w:rPr>
        <w:t xml:space="preserve">NORMX AI se réserve le droit de modifier ses tarifs à tout moment. Les nouveaux tarifs s'appliquent à toute souscription ou renouvellement postérieur à leur publication. Les Abonnés en cours bénéficient du maintien du tarif initial jusqu'au terme de leur période d'abonnement en cours.</w:t>
      </w:r>
    </w:p>
    <w:p>
      <w:pPr>
        <w:pStyle w:val="Heading1"/>
        <w:spacing w:after="240" w:before="360"/>
      </w:pPr>
      <w:r>
        <w:rPr>
          <w:b/>
          <w:bCs/>
          <w:color w:val="1A3A5C"/>
          <w:sz w:val="32"/>
          <w:szCs w:val="32"/>
        </w:rPr>
        <w:t xml:space="preserve">ARTICLE 7 — PAIEMENT</w:t>
      </w:r>
    </w:p>
    <w:p>
      <w:pPr>
        <w:pStyle w:val="Heading2"/>
        <w:spacing w:after="160" w:before="280"/>
      </w:pPr>
      <w:r>
        <w:rPr>
          <w:b/>
          <w:bCs/>
          <w:color w:val="1A3A5C"/>
          <w:sz w:val="26"/>
          <w:szCs w:val="26"/>
        </w:rPr>
        <w:t xml:space="preserve">7.1 Moyens de paiement acceptés</w:t>
      </w:r>
    </w:p>
    <w:p>
      <w:pPr>
        <w:pStyle w:val="ListParagraph"/>
        <w:numPr>
          <w:ilvl w:val="0"/>
          <w:numId w:val="2"/>
        </w:numPr>
        <w:spacing w:after="80" w:line="280"/>
      </w:pPr>
      <w:r>
        <w:rPr>
          <w:sz w:val="22"/>
          <w:szCs w:val="22"/>
        </w:rPr>
        <w:t xml:space="preserve">Carte bancaire (Visa, Mastercard, American Express) via le prestataire Stripe Payments Europe Ltd.</w:t>
      </w:r>
    </w:p>
    <w:p>
      <w:pPr>
        <w:pStyle w:val="ListParagraph"/>
        <w:numPr>
          <w:ilvl w:val="0"/>
          <w:numId w:val="2"/>
        </w:numPr>
        <w:spacing w:after="80" w:line="280"/>
      </w:pPr>
      <w:r>
        <w:rPr>
          <w:sz w:val="22"/>
          <w:szCs w:val="22"/>
        </w:rPr>
        <w:t xml:space="preserve">Mobile Money (MTN Mobile Money, Airtel Money) pour les Clients Congo-Brazzaville via le prestataire Lygos.</w:t>
      </w:r>
    </w:p>
    <w:p>
      <w:pPr>
        <w:pStyle w:val="ListParagraph"/>
        <w:numPr>
          <w:ilvl w:val="0"/>
          <w:numId w:val="2"/>
        </w:numPr>
        <w:spacing w:after="80" w:line="280"/>
      </w:pPr>
      <w:r>
        <w:rPr>
          <w:sz w:val="22"/>
          <w:szCs w:val="22"/>
        </w:rPr>
        <w:t xml:space="preserve">Tout autre moyen de paiement qui serait ultérieurement proposé sur les Services.</w:t>
      </w:r>
    </w:p>
    <w:p>
      <w:pPr>
        <w:pStyle w:val="Heading2"/>
        <w:spacing w:after="160" w:before="280"/>
      </w:pPr>
      <w:r>
        <w:rPr>
          <w:b/>
          <w:bCs/>
          <w:color w:val="1A3A5C"/>
          <w:sz w:val="26"/>
          <w:szCs w:val="26"/>
        </w:rPr>
        <w:t xml:space="preserve">7.2 Sécurité des paiements</w:t>
      </w:r>
    </w:p>
    <w:p>
      <w:pPr>
        <w:spacing w:after="120" w:line="300"/>
        <w:jc w:val="both"/>
      </w:pPr>
      <w:r>
        <w:rPr>
          <w:sz w:val="22"/>
          <w:szCs w:val="22"/>
        </w:rPr>
        <w:t xml:space="preserve">NORMX AI ne collecte ni ne stocke aucune donnée bancaire. Les transactions sont intégralement traitées par les prestataires de paiement précités, qui garantissent la conformité aux normes PCI-DSS et au règlement (UE) 2015/2366 (DSP2).</w:t>
      </w:r>
    </w:p>
    <w:p>
      <w:pPr>
        <w:pStyle w:val="Heading2"/>
        <w:spacing w:after="160" w:before="280"/>
      </w:pPr>
      <w:r>
        <w:rPr>
          <w:b/>
          <w:bCs/>
          <w:color w:val="1A3A5C"/>
          <w:sz w:val="26"/>
          <w:szCs w:val="26"/>
        </w:rPr>
        <w:t xml:space="preserve">7.3 Défaut de paiement</w:t>
      </w:r>
    </w:p>
    <w:p>
      <w:pPr>
        <w:spacing w:after="120" w:line="300"/>
        <w:jc w:val="both"/>
      </w:pPr>
      <w:r>
        <w:rPr>
          <w:sz w:val="22"/>
          <w:szCs w:val="22"/>
        </w:rPr>
        <w:t xml:space="preserve">En cas de défaut de paiement, NORMX AI se réserve le droit de suspendre l'accès au Service concerné après relance restée sans effet pendant 7 jours. Pour les Professionnels, des pénalités de retard égales à trois fois le taux d'intérêt légal ainsi qu'une indemnité forfaitaire de recouvrement de 40 euros seront dues de plein droit (articles L.441-10 et D.441-5 du Code de commerce).</w:t>
      </w:r>
    </w:p>
    <w:p>
      <w:pPr>
        <w:pStyle w:val="Heading1"/>
        <w:spacing w:after="240" w:before="360"/>
      </w:pPr>
      <w:r>
        <w:rPr>
          <w:b/>
          <w:bCs/>
          <w:color w:val="1A3A5C"/>
          <w:sz w:val="32"/>
          <w:szCs w:val="32"/>
        </w:rPr>
        <w:t xml:space="preserve">ARTICLE 8 — DURÉE, RECONDUCTION ET RÉSILIATION</w:t>
      </w:r>
    </w:p>
    <w:p>
      <w:pPr>
        <w:pStyle w:val="Heading2"/>
        <w:spacing w:after="160" w:before="280"/>
      </w:pPr>
      <w:r>
        <w:rPr>
          <w:b/>
          <w:bCs/>
          <w:color w:val="1A3A5C"/>
          <w:sz w:val="26"/>
          <w:szCs w:val="26"/>
        </w:rPr>
        <w:t xml:space="preserve">8.1 Durée</w:t>
      </w:r>
    </w:p>
    <w:p>
      <w:pPr>
        <w:spacing w:after="120" w:line="300"/>
        <w:jc w:val="both"/>
      </w:pPr>
      <w:r>
        <w:rPr>
          <w:sz w:val="22"/>
          <w:szCs w:val="22"/>
        </w:rPr>
        <w:t xml:space="preserve">Sauf indication contraire figurant dans l'annexe du Service concerné, les Formules d'Abonnement sont souscrites pour une durée initiale de 12 mois à compter de la date de souscription.</w:t>
      </w:r>
    </w:p>
    <w:p>
      <w:pPr>
        <w:pStyle w:val="Heading2"/>
        <w:spacing w:after="160" w:before="280"/>
      </w:pPr>
      <w:r>
        <w:rPr>
          <w:b/>
          <w:bCs/>
          <w:color w:val="1A3A5C"/>
          <w:sz w:val="26"/>
          <w:szCs w:val="26"/>
        </w:rPr>
        <w:t xml:space="preserve">8.2 Reconduction tacite</w:t>
      </w:r>
    </w:p>
    <w:p>
      <w:pPr>
        <w:spacing w:after="120" w:line="300"/>
        <w:jc w:val="both"/>
      </w:pPr>
      <w:r>
        <w:rPr>
          <w:sz w:val="22"/>
          <w:szCs w:val="22"/>
        </w:rPr>
        <w:t xml:space="preserve">À l'échéance de la période initiale, l'abonnement est reconduit tacitement pour des périodes successives de 12 mois, sauf résiliation par l'une ou l'autre des parties dans les conditions prévues à l'article 8.3.</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Conformément à l'article L.215-1 du Code de la consommation, le Consommateur est informé par écrit, au plus tôt trois mois et au plus tard un mois avant l'échéance, de la possibilité de ne pas reconduire son contrat. À défaut d'information, le Consommateur peut mettre fin gratuitement à son contrat à tout moment à compter de la date de reconduction.</w:t>
      </w:r>
    </w:p>
    <w:p>
      <w:pPr>
        <w:pStyle w:val="Heading2"/>
        <w:spacing w:after="160" w:before="280"/>
      </w:pPr>
      <w:r>
        <w:rPr>
          <w:b/>
          <w:bCs/>
          <w:color w:val="1A3A5C"/>
          <w:sz w:val="26"/>
          <w:szCs w:val="26"/>
        </w:rPr>
        <w:t xml:space="preserve">8.3 Résiliation à l'initiative du Client</w:t>
      </w:r>
    </w:p>
    <w:p>
      <w:pPr>
        <w:spacing w:after="120" w:line="300"/>
        <w:jc w:val="both"/>
      </w:pPr>
      <w:r>
        <w:rPr>
          <w:sz w:val="22"/>
          <w:szCs w:val="22"/>
        </w:rPr>
        <w:t xml:space="preserve">Le Client peut résilier son abonnement à tout moment depuis son Compte (rubrique « Mon abonnement ») ou par email à contact@normx-ai.com. La résiliation prend effet à l'issue de la période d'abonnement en cours ; aucun remboursement prorata temporis n'est dû pour la période restante, sauf dispositions légales contraires.</w:t>
      </w:r>
    </w:p>
    <w:p>
      <w:pPr>
        <w:spacing w:after="120" w:line="300"/>
        <w:jc w:val="both"/>
      </w:pPr>
      <w:r>
        <w:rPr>
          <w:sz w:val="22"/>
          <w:szCs w:val="22"/>
        </w:rPr>
        <w:t xml:space="preserve">La résiliation d'un Service n'entraîne pas automatiquement la résiliation des autres Services auxquels le Client aurait souscrit.</w:t>
      </w:r>
    </w:p>
    <w:p>
      <w:pPr>
        <w:pStyle w:val="Heading2"/>
        <w:spacing w:after="160" w:before="280"/>
      </w:pPr>
      <w:r>
        <w:rPr>
          <w:b/>
          <w:bCs/>
          <w:color w:val="1A3A5C"/>
          <w:sz w:val="26"/>
          <w:szCs w:val="26"/>
        </w:rPr>
        <w:t xml:space="preserve">8.4 Résiliation à l'initiative de NORMX AI</w:t>
      </w:r>
    </w:p>
    <w:p>
      <w:pPr>
        <w:spacing w:after="120" w:line="300"/>
        <w:jc w:val="both"/>
      </w:pPr>
      <w:r>
        <w:rPr>
          <w:sz w:val="22"/>
          <w:szCs w:val="22"/>
        </w:rPr>
        <w:t xml:space="preserve">NORMX AI peut résilier l'abonnement de plein droit, sans indemnité, en cas de manquement grave du Client à ses obligations (notamment usage frauduleux, non-paiement, atteinte aux droits de NORMX AI ou de tiers), après mise en demeure restée sans effet pendant 15 jours.</w:t>
      </w:r>
    </w:p>
    <w:p>
      <w:pPr>
        <w:pStyle w:val="Heading1"/>
        <w:spacing w:after="240" w:before="360"/>
      </w:pPr>
      <w:r>
        <w:rPr>
          <w:b/>
          <w:bCs/>
          <w:color w:val="1A3A5C"/>
          <w:sz w:val="32"/>
          <w:szCs w:val="32"/>
        </w:rPr>
        <w:t xml:space="preserve">ARTICLE 9 — DROIT DE RÉTRACTATION</w:t>
      </w:r>
    </w:p>
    <w:p>
      <w:pPr>
        <w:pStyle w:val="Heading2"/>
        <w:spacing w:after="160" w:before="280"/>
      </w:pPr>
      <w:r>
        <w:rPr>
          <w:b/>
          <w:bCs/>
          <w:color w:val="1A3A5C"/>
          <w:sz w:val="26"/>
          <w:szCs w:val="26"/>
        </w:rPr>
        <w:t xml:space="preserve">9.1 Principe applicable aux Consommateurs</w:t>
      </w:r>
    </w:p>
    <w:p>
      <w:pPr>
        <w:spacing w:after="120" w:line="300"/>
        <w:jc w:val="both"/>
      </w:pPr>
      <w:r>
        <w:rPr>
          <w:sz w:val="22"/>
          <w:szCs w:val="22"/>
        </w:rPr>
        <w:t xml:space="preserve">Conformément aux articles L.221-18 et suivants du Code de la consommation, le Consommateur dispose d'un délai de 14 jours à compter de la conclusion du contrat pour exercer son droit de rétractation, sans avoir à motiver sa décision ni à supporter de frais autres que ceux prévus par la loi.</w:t>
      </w:r>
    </w:p>
    <w:p>
      <w:pPr>
        <w:pStyle w:val="Heading2"/>
        <w:spacing w:after="160" w:before="280"/>
      </w:pPr>
      <w:r>
        <w:rPr>
          <w:b/>
          <w:bCs/>
          <w:color w:val="1A3A5C"/>
          <w:sz w:val="26"/>
          <w:szCs w:val="26"/>
        </w:rPr>
        <w:t xml:space="preserve">9.2 Renonciation expresse au droit de rétractation</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Par dérogation, le Consommateur qui souhaite bénéficier d'un accès immédiat aux Services doit expressément renoncer à son droit de rétractation au moment de la commande, conformément à l'article L.221-28, 1° du Code de la consommation. Cette renonciation se matérialise par la case à cocher suivante : « Je demande l'exécution immédiate du service et je reconnais expressément perdre mon droit de rétractation une fois le service pleinement exécuté ». Dans ce cas, aucun remboursement ne pourra être exigé après activation du Compte.</w:t>
      </w:r>
    </w:p>
    <w:p>
      <w:pPr>
        <w:pStyle w:val="Heading2"/>
        <w:spacing w:after="160" w:before="280"/>
      </w:pPr>
      <w:r>
        <w:rPr>
          <w:b/>
          <w:bCs/>
          <w:color w:val="1A3A5C"/>
          <w:sz w:val="26"/>
          <w:szCs w:val="26"/>
        </w:rPr>
        <w:t xml:space="preserve">9.3 Modalités d'exercice</w:t>
      </w:r>
    </w:p>
    <w:p>
      <w:pPr>
        <w:spacing w:after="120" w:line="300"/>
        <w:jc w:val="both"/>
      </w:pPr>
      <w:r>
        <w:rPr>
          <w:sz w:val="22"/>
          <w:szCs w:val="22"/>
        </w:rPr>
        <w:t xml:space="preserve">À défaut de renonciation, le Consommateur peut exercer son droit de rétractation en adressant une demande non équivoque à reclamation@normx-ai.com, ou en utilisant le formulaire type figurant en Annexe D des présentes. Le remboursement intervient dans un délai maximum de 14 jours suivant la notification de la rétractation, par le même moyen de paiement que celui utilisé lors de la commande.</w:t>
      </w:r>
    </w:p>
    <w:p>
      <w:pPr>
        <w:pStyle w:val="Heading2"/>
        <w:spacing w:after="160" w:before="280"/>
      </w:pPr>
      <w:r>
        <w:rPr>
          <w:b/>
          <w:bCs/>
          <w:color w:val="1A3A5C"/>
          <w:sz w:val="26"/>
          <w:szCs w:val="26"/>
        </w:rPr>
        <w:t xml:space="preserve">9.4 Exclusion pour les Professionnels</w:t>
      </w:r>
    </w:p>
    <w:p>
      <w:pPr>
        <w:spacing w:after="120" w:line="300"/>
        <w:jc w:val="both"/>
      </w:pPr>
      <w:r>
        <w:rPr>
          <w:sz w:val="22"/>
          <w:szCs w:val="22"/>
        </w:rPr>
        <w:t xml:space="preserve">Conformément à l'article L.221-3 du Code de la consommation, le droit de rétractation n'est pas applicable aux contrats conclus hors établissement dans le cadre d'une activité professionnelle dès lors que l'objet du contrat entre dans le champ de l'activité principale du Professionnel et que le nombre de salariés est supérieur à cinq.</w:t>
      </w:r>
    </w:p>
    <w:p>
      <w:pPr>
        <w:pStyle w:val="Heading1"/>
        <w:spacing w:after="240" w:before="360"/>
      </w:pPr>
      <w:r>
        <w:rPr>
          <w:b/>
          <w:bCs/>
          <w:color w:val="1A3A5C"/>
          <w:sz w:val="32"/>
          <w:szCs w:val="32"/>
        </w:rPr>
        <w:t xml:space="preserve">ARTICLE 10 — ACCÈS AUX SERVICES ET DISPONIBILITÉ</w:t>
      </w:r>
    </w:p>
    <w:p>
      <w:pPr>
        <w:pStyle w:val="Heading2"/>
        <w:spacing w:after="160" w:before="280"/>
      </w:pPr>
      <w:r>
        <w:rPr>
          <w:b/>
          <w:bCs/>
          <w:color w:val="1A3A5C"/>
          <w:sz w:val="26"/>
          <w:szCs w:val="26"/>
        </w:rPr>
        <w:t xml:space="preserve">10.1 Accessibilité</w:t>
      </w:r>
    </w:p>
    <w:p>
      <w:pPr>
        <w:spacing w:after="120" w:line="300"/>
        <w:jc w:val="both"/>
      </w:pPr>
      <w:r>
        <w:rPr>
          <w:sz w:val="22"/>
          <w:szCs w:val="22"/>
        </w:rPr>
        <w:t xml:space="preserve">Les Services sont accessibles 24 heures sur 24, 7 jours sur 7, sous réserve d'interruptions pour maintenance programmée ou cas de force majeure. NORMX AI s'engage à une obligation de moyens quant à la continuité et à la qualité du service, avec un objectif de disponibilité annuelle de 99 %.</w:t>
      </w:r>
    </w:p>
    <w:p>
      <w:pPr>
        <w:pStyle w:val="Heading2"/>
        <w:spacing w:after="160" w:before="280"/>
      </w:pPr>
      <w:r>
        <w:rPr>
          <w:b/>
          <w:bCs/>
          <w:color w:val="1A3A5C"/>
          <w:sz w:val="26"/>
          <w:szCs w:val="26"/>
        </w:rPr>
        <w:t xml:space="preserve">10.2 Maintenance</w:t>
      </w:r>
    </w:p>
    <w:p>
      <w:pPr>
        <w:spacing w:after="120" w:line="300"/>
        <w:jc w:val="both"/>
      </w:pPr>
      <w:r>
        <w:rPr>
          <w:sz w:val="22"/>
          <w:szCs w:val="22"/>
        </w:rPr>
        <w:t xml:space="preserve">Les opérations de maintenance programmée sont réalisées autant que possible en dehors des heures ouvrées et font l'objet d'une information préalable du Client par email ou via les Services.</w:t>
      </w:r>
    </w:p>
    <w:p>
      <w:pPr>
        <w:pStyle w:val="Heading2"/>
        <w:spacing w:after="160" w:before="280"/>
      </w:pPr>
      <w:r>
        <w:rPr>
          <w:b/>
          <w:bCs/>
          <w:color w:val="1A3A5C"/>
          <w:sz w:val="26"/>
          <w:szCs w:val="26"/>
        </w:rPr>
        <w:t xml:space="preserve">10.3 Prérequis techniques</w:t>
      </w:r>
    </w:p>
    <w:p>
      <w:pPr>
        <w:spacing w:after="120" w:line="300"/>
        <w:jc w:val="both"/>
      </w:pPr>
      <w:r>
        <w:rPr>
          <w:sz w:val="22"/>
          <w:szCs w:val="22"/>
        </w:rPr>
        <w:t xml:space="preserve">Le Client doit disposer d'une connexion internet stable et d'un navigateur web récent (Chrome, Firefox, Safari, Edge dans leurs deux dernières versions majeures). NORMX AI ne peut être tenue responsable des dysfonctionnements imputables aux équipements ou à la connexion du Client.</w:t>
      </w:r>
    </w:p>
    <w:p>
      <w:pPr>
        <w:pStyle w:val="Heading1"/>
        <w:spacing w:after="240" w:before="360"/>
      </w:pPr>
      <w:r>
        <w:rPr>
          <w:b/>
          <w:bCs/>
          <w:color w:val="1A3A5C"/>
          <w:sz w:val="32"/>
          <w:szCs w:val="32"/>
        </w:rPr>
        <w:t xml:space="preserve">ARTICLE 11 — OBLIGATIONS DU CLIENT</w:t>
      </w:r>
    </w:p>
    <w:p>
      <w:pPr>
        <w:spacing w:after="120" w:line="300"/>
        <w:jc w:val="both"/>
      </w:pPr>
      <w:r>
        <w:rPr>
          <w:sz w:val="22"/>
          <w:szCs w:val="22"/>
        </w:rPr>
        <w:t xml:space="preserve">Le Client s'engage à :</w:t>
      </w:r>
    </w:p>
    <w:p>
      <w:pPr>
        <w:pStyle w:val="ListParagraph"/>
        <w:numPr>
          <w:ilvl w:val="0"/>
          <w:numId w:val="2"/>
        </w:numPr>
        <w:spacing w:after="80" w:line="280"/>
      </w:pPr>
      <w:r>
        <w:rPr>
          <w:sz w:val="22"/>
          <w:szCs w:val="22"/>
        </w:rPr>
        <w:t xml:space="preserve">Fournir des informations exactes et à jour lors de la souscription et pendant toute la durée du contrat.</w:t>
      </w:r>
    </w:p>
    <w:p>
      <w:pPr>
        <w:pStyle w:val="ListParagraph"/>
        <w:numPr>
          <w:ilvl w:val="0"/>
          <w:numId w:val="2"/>
        </w:numPr>
        <w:spacing w:after="80" w:line="280"/>
      </w:pPr>
      <w:r>
        <w:rPr>
          <w:sz w:val="22"/>
          <w:szCs w:val="22"/>
        </w:rPr>
        <w:t xml:space="preserve">Conserver la confidentialité de ses identifiants de connexion et informer sans délai NORMX AI de toute utilisation frauduleuse.</w:t>
      </w:r>
    </w:p>
    <w:p>
      <w:pPr>
        <w:pStyle w:val="ListParagraph"/>
        <w:numPr>
          <w:ilvl w:val="0"/>
          <w:numId w:val="2"/>
        </w:numPr>
        <w:spacing w:after="80" w:line="280"/>
      </w:pPr>
      <w:r>
        <w:rPr>
          <w:sz w:val="22"/>
          <w:szCs w:val="22"/>
        </w:rPr>
        <w:t xml:space="preserve">Utiliser les Services conformément à leur destination et dans le respect des lois en vigueur.</w:t>
      </w:r>
    </w:p>
    <w:p>
      <w:pPr>
        <w:pStyle w:val="ListParagraph"/>
        <w:numPr>
          <w:ilvl w:val="0"/>
          <w:numId w:val="2"/>
        </w:numPr>
        <w:spacing w:after="80" w:line="280"/>
      </w:pPr>
      <w:r>
        <w:rPr>
          <w:sz w:val="22"/>
          <w:szCs w:val="22"/>
        </w:rPr>
        <w:t xml:space="preserve">Ne pas revendre, redistribuer, partager ou mettre à disposition de tiers les Contenus IA générés, sauf dans le cadre d'un usage professionnel interne à son cabinet ou à son entreprise.</w:t>
      </w:r>
    </w:p>
    <w:p>
      <w:pPr>
        <w:pStyle w:val="ListParagraph"/>
        <w:numPr>
          <w:ilvl w:val="0"/>
          <w:numId w:val="2"/>
        </w:numPr>
        <w:spacing w:after="80" w:line="280"/>
      </w:pPr>
      <w:r>
        <w:rPr>
          <w:sz w:val="22"/>
          <w:szCs w:val="22"/>
        </w:rPr>
        <w:t xml:space="preserve">Ne pas tenter de contourner les mesures de sécurité des Services, ni de procéder à de l'ingénierie inverse, ni d'utiliser les Services pour entraîner un système d'intelligence artificielle concurrent.</w:t>
      </w:r>
    </w:p>
    <w:p>
      <w:pPr>
        <w:pStyle w:val="ListParagraph"/>
        <w:numPr>
          <w:ilvl w:val="0"/>
          <w:numId w:val="2"/>
        </w:numPr>
        <w:spacing w:after="80" w:line="280"/>
      </w:pPr>
      <w:r>
        <w:rPr>
          <w:sz w:val="22"/>
          <w:szCs w:val="22"/>
        </w:rPr>
        <w:t xml:space="preserve">Ne pas injecter, via les requêtes, des données personnelles sensibles (données de santé, opinions politiques, données relatives aux infractions, etc.) appartenant à des tiers sans leur consentement ou base légale appropriée.</w:t>
      </w:r>
    </w:p>
    <w:p>
      <w:pPr>
        <w:pStyle w:val="ListParagraph"/>
        <w:numPr>
          <w:ilvl w:val="0"/>
          <w:numId w:val="2"/>
        </w:numPr>
        <w:spacing w:after="80" w:line="280"/>
      </w:pPr>
      <w:r>
        <w:rPr>
          <w:sz w:val="22"/>
          <w:szCs w:val="22"/>
        </w:rPr>
        <w:t xml:space="preserve">Respecter les obligations spécifiques prévues dans l'annexe du Service souscrit.</w:t>
      </w:r>
    </w:p>
    <w:p>
      <w:pPr>
        <w:pStyle w:val="Heading1"/>
        <w:spacing w:after="240" w:before="360"/>
      </w:pPr>
      <w:r>
        <w:rPr>
          <w:b/>
          <w:bCs/>
          <w:color w:val="1A3A5C"/>
          <w:sz w:val="32"/>
          <w:szCs w:val="32"/>
        </w:rPr>
        <w:t xml:space="preserve">ARTICLE 12 — PROPRIÉTÉ INTELLECTUELLE</w:t>
      </w:r>
    </w:p>
    <w:p>
      <w:pPr>
        <w:pStyle w:val="Heading2"/>
        <w:spacing w:after="160" w:before="280"/>
      </w:pPr>
      <w:r>
        <w:rPr>
          <w:b/>
          <w:bCs/>
          <w:color w:val="1A3A5C"/>
          <w:sz w:val="26"/>
          <w:szCs w:val="26"/>
        </w:rPr>
        <w:t xml:space="preserve">12.1 Droits de NORMX AI</w:t>
      </w:r>
    </w:p>
    <w:p>
      <w:pPr>
        <w:spacing w:after="120" w:line="300"/>
        <w:jc w:val="both"/>
      </w:pPr>
      <w:r>
        <w:rPr>
          <w:sz w:val="22"/>
          <w:szCs w:val="22"/>
        </w:rPr>
        <w:t xml:space="preserve">L'ensemble des éléments composant les Services (code source, interfaces, graphismes, textes, bases de données, modèles d'intelligence artificielle, marques, logos, noms de domaine) sont la propriété exclusive de NORMX AI ou de ses concédants et sont protégés par le droit de la propriété intellectuelle.</w:t>
      </w:r>
    </w:p>
    <w:p>
      <w:pPr>
        <w:spacing w:after="120" w:line="300"/>
        <w:jc w:val="both"/>
      </w:pPr>
      <w:r>
        <w:rPr>
          <w:sz w:val="22"/>
          <w:szCs w:val="22"/>
        </w:rPr>
        <w:t xml:space="preserve">La marque « NORMX AI » est déposée à l'INPI sous le numéro 5146181. Les noms « NormX Tax », « NormX Finance » et « NormX Legal » sont utilisés à titre de noms commerciaux pour désigner les Services.</w:t>
      </w:r>
    </w:p>
    <w:p>
      <w:pPr>
        <w:pStyle w:val="Heading2"/>
        <w:spacing w:after="160" w:before="280"/>
      </w:pPr>
      <w:r>
        <w:rPr>
          <w:b/>
          <w:bCs/>
          <w:color w:val="1A3A5C"/>
          <w:sz w:val="26"/>
          <w:szCs w:val="26"/>
        </w:rPr>
        <w:t xml:space="preserve">12.2 Licence concédée au Client</w:t>
      </w:r>
    </w:p>
    <w:p>
      <w:pPr>
        <w:spacing w:after="120" w:line="300"/>
        <w:jc w:val="both"/>
      </w:pPr>
      <w:r>
        <w:rPr>
          <w:sz w:val="22"/>
          <w:szCs w:val="22"/>
        </w:rPr>
        <w:t xml:space="preserve">NORMX AI concède au Client, pour la durée de son abonnement, une licence d'utilisation non exclusive, non cessible et non transmissible des Services, limitée aux besoins de son activité et aux conditions des présentes CGV.</w:t>
      </w:r>
    </w:p>
    <w:p>
      <w:pPr>
        <w:pStyle w:val="Heading2"/>
        <w:spacing w:after="160" w:before="280"/>
      </w:pPr>
      <w:r>
        <w:rPr>
          <w:b/>
          <w:bCs/>
          <w:color w:val="1A3A5C"/>
          <w:sz w:val="26"/>
          <w:szCs w:val="26"/>
        </w:rPr>
        <w:t xml:space="preserve">12.3 Contenus IA</w:t>
      </w:r>
    </w:p>
    <w:p>
      <w:pPr>
        <w:spacing w:after="120" w:line="300"/>
        <w:jc w:val="both"/>
      </w:pPr>
      <w:r>
        <w:rPr>
          <w:sz w:val="22"/>
          <w:szCs w:val="22"/>
        </w:rPr>
        <w:t xml:space="preserve">Le Client dispose d'un droit d'usage illimité des Contenus IA générés pour son propre compte ou celui de ses clients directs (dans le cadre d'une activité de cabinet). Il demeure seul responsable de l'usage qu'il en fait et de la validation de leur exactitude.</w:t>
      </w:r>
    </w:p>
    <w:p>
      <w:pPr>
        <w:pStyle w:val="Heading2"/>
        <w:spacing w:after="160" w:before="280"/>
      </w:pPr>
      <w:r>
        <w:rPr>
          <w:b/>
          <w:bCs/>
          <w:color w:val="1A3A5C"/>
          <w:sz w:val="26"/>
          <w:szCs w:val="26"/>
        </w:rPr>
        <w:t xml:space="preserve">12.4 Sources publiques officielles</w:t>
      </w:r>
    </w:p>
    <w:p>
      <w:pPr>
        <w:spacing w:after="120" w:line="300"/>
        <w:jc w:val="both"/>
      </w:pPr>
      <w:r>
        <w:rPr>
          <w:sz w:val="22"/>
          <w:szCs w:val="22"/>
        </w:rPr>
        <w:t xml:space="preserve">Les Services s'appuient, pour leur production, sur des sources publiques officielles (Codes des impôts, Actes uniformes OHADA, Journal Officiel des sociétés commerciales OHADA, conventions collectives, etc.). NORMX AI ne revendique aucun droit sur ces textes officiels, dont l'accès est libre.</w:t>
      </w:r>
    </w:p>
    <w:p>
      <w:pPr>
        <w:pStyle w:val="Heading1"/>
        <w:spacing w:after="240" w:before="360"/>
      </w:pPr>
      <w:r>
        <w:rPr>
          <w:b/>
          <w:bCs/>
          <w:color w:val="1A3A5C"/>
          <w:sz w:val="32"/>
          <w:szCs w:val="32"/>
        </w:rPr>
        <w:t xml:space="preserve">ARTICLE 13 — RESPONSABILITÉ ET GARANTIES</w:t>
      </w:r>
    </w:p>
    <w:p>
      <w:pPr>
        <w:pStyle w:val="Heading2"/>
        <w:spacing w:after="160" w:before="280"/>
      </w:pPr>
      <w:r>
        <w:rPr>
          <w:b/>
          <w:bCs/>
          <w:color w:val="1A3A5C"/>
          <w:sz w:val="26"/>
          <w:szCs w:val="26"/>
        </w:rPr>
        <w:t xml:space="preserve">13.1 Limitation de responsabilité</w:t>
      </w:r>
    </w:p>
    <w:p>
      <w:pPr>
        <w:spacing w:after="120" w:line="300"/>
        <w:jc w:val="both"/>
      </w:pPr>
      <w:r>
        <w:rPr>
          <w:sz w:val="22"/>
          <w:szCs w:val="22"/>
        </w:rPr>
        <w:t xml:space="preserve">NORMX AI est tenue d'une obligation de moyens et non de résultat. Sa responsabilité ne saurait être engagée :</w:t>
      </w:r>
    </w:p>
    <w:p>
      <w:pPr>
        <w:pStyle w:val="ListParagraph"/>
        <w:numPr>
          <w:ilvl w:val="0"/>
          <w:numId w:val="2"/>
        </w:numPr>
        <w:spacing w:after="80" w:line="280"/>
      </w:pPr>
      <w:r>
        <w:rPr>
          <w:sz w:val="22"/>
          <w:szCs w:val="22"/>
        </w:rPr>
        <w:t xml:space="preserve">Pour l'inexactitude, l'incomplétude ou l'obsolescence des Contenus IA.</w:t>
      </w:r>
    </w:p>
    <w:p>
      <w:pPr>
        <w:pStyle w:val="ListParagraph"/>
        <w:numPr>
          <w:ilvl w:val="0"/>
          <w:numId w:val="2"/>
        </w:numPr>
        <w:spacing w:after="80" w:line="280"/>
      </w:pPr>
      <w:r>
        <w:rPr>
          <w:sz w:val="22"/>
          <w:szCs w:val="22"/>
        </w:rPr>
        <w:t xml:space="preserve">Pour les conséquences fiscales, comptables, financières, administratives ou juridiques découlant de l'utilisation exclusive des Contenus IA sans validation par un professionnel qualifié.</w:t>
      </w:r>
    </w:p>
    <w:p>
      <w:pPr>
        <w:pStyle w:val="ListParagraph"/>
        <w:numPr>
          <w:ilvl w:val="0"/>
          <w:numId w:val="2"/>
        </w:numPr>
        <w:spacing w:after="80" w:line="280"/>
      </w:pPr>
      <w:r>
        <w:rPr>
          <w:sz w:val="22"/>
          <w:szCs w:val="22"/>
        </w:rPr>
        <w:t xml:space="preserve">Pour les dommages indirects (perte d'exploitation, perte de chance, préjudice commercial, perte de données).</w:t>
      </w:r>
    </w:p>
    <w:p>
      <w:pPr>
        <w:pStyle w:val="ListParagraph"/>
        <w:numPr>
          <w:ilvl w:val="0"/>
          <w:numId w:val="2"/>
        </w:numPr>
        <w:spacing w:after="80" w:line="280"/>
      </w:pPr>
      <w:r>
        <w:rPr>
          <w:sz w:val="22"/>
          <w:szCs w:val="22"/>
        </w:rPr>
        <w:t xml:space="preserve">Pour les interruptions de service dues à la force majeure, au fait d'un tiers, ou à une mauvaise utilisation par le Client.</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En tout état de cause et sauf faute lourde ou dol, la responsabilité totale de NORMX AI, tous préjudices confondus, est plafonnée au montant hors taxes effectivement payé par le Client au titre des 12 derniers mois précédant le fait générateur de responsabilité, pour le Service concerné.</w:t>
      </w:r>
    </w:p>
    <w:p>
      <w:pPr>
        <w:pStyle w:val="Heading2"/>
        <w:spacing w:after="160" w:before="280"/>
      </w:pPr>
      <w:r>
        <w:rPr>
          <w:b/>
          <w:bCs/>
          <w:color w:val="1A3A5C"/>
          <w:sz w:val="26"/>
          <w:szCs w:val="26"/>
        </w:rPr>
        <w:t xml:space="preserve">13.2 Garanties légales</w:t>
      </w:r>
    </w:p>
    <w:p>
      <w:pPr>
        <w:spacing w:after="120" w:line="300"/>
        <w:jc w:val="both"/>
      </w:pPr>
      <w:r>
        <w:rPr>
          <w:sz w:val="22"/>
          <w:szCs w:val="22"/>
        </w:rPr>
        <w:t xml:space="preserve">Les Consommateurs bénéficient des garanties légales de conformité (articles L.217-3 et suivants du Code de la consommation) et des vices cachés (articles 1641 et suivants du Code civil), dans les conditions et limites prévues par la loi.</w:t>
      </w:r>
    </w:p>
    <w:p>
      <w:pPr>
        <w:pStyle w:val="Heading1"/>
        <w:spacing w:after="240" w:before="360"/>
      </w:pPr>
      <w:r>
        <w:rPr>
          <w:b/>
          <w:bCs/>
          <w:color w:val="1A3A5C"/>
          <w:sz w:val="32"/>
          <w:szCs w:val="32"/>
        </w:rPr>
        <w:t xml:space="preserve">ARTICLE 14 — DONNÉES PERSONNELLES</w:t>
      </w:r>
    </w:p>
    <w:p>
      <w:pPr>
        <w:spacing w:after="120" w:line="300"/>
        <w:jc w:val="both"/>
      </w:pPr>
      <w:r>
        <w:rPr>
          <w:sz w:val="22"/>
          <w:szCs w:val="22"/>
        </w:rPr>
        <w:t xml:space="preserve">NORMX AI est responsable du traitement des données personnelles collectées dans le cadre des Services, conformément au Règlement (UE) 2016/679 (RGPD) et à la loi n° 78-17 du 6 janvier 1978 modifiée. Les modalités détaillées du traitement sont précisées dans la Politique de Confidentialité accessible à l'adresse normx-ai.com/politique-confidentialite.</w:t>
      </w:r>
    </w:p>
    <w:p>
      <w:pPr>
        <w:spacing w:after="120" w:line="300"/>
        <w:jc w:val="both"/>
      </w:pPr>
      <w:r>
        <w:rPr>
          <w:sz w:val="22"/>
          <w:szCs w:val="22"/>
        </w:rPr>
        <w:t xml:space="preserve">Pour les Clients Professionnels utilisant les Services pour traiter des données de leurs propres clients ou collaborateurs, un Accord de Traitement des Données (DPA) distinct est conclu entre le Client et NORMX AI, conformément à l'article 28 du RGPD. Ce DPA est obligatoire notamment pour l'utilisation de NormX Finance (données comptables et de paie de tiers) et de NormX Legal (actes et documents relatifs à des tiers).</w:t>
      </w:r>
    </w:p>
    <w:p>
      <w:pPr>
        <w:pStyle w:val="Heading1"/>
        <w:spacing w:after="240" w:before="360"/>
      </w:pPr>
      <w:r>
        <w:rPr>
          <w:b/>
          <w:bCs/>
          <w:color w:val="1A3A5C"/>
          <w:sz w:val="32"/>
          <w:szCs w:val="32"/>
        </w:rPr>
        <w:t xml:space="preserve">ARTICLE 15 — FORCE MAJEURE</w:t>
      </w:r>
    </w:p>
    <w:p>
      <w:pPr>
        <w:spacing w:after="120" w:line="300"/>
        <w:jc w:val="both"/>
      </w:pPr>
      <w:r>
        <w:rPr>
          <w:sz w:val="22"/>
          <w:szCs w:val="22"/>
        </w:rPr>
        <w:t xml:space="preserve">Aucune des parties ne pourra être tenue responsable de l'inexécution de ses obligations en cas de force majeure au sens de l'article 1218 du Code civil. Sont notamment considérés comme tels : les catastrophes naturelles, les guerres, les actes de terrorisme, les grèves générales, les coupures généralisées des réseaux de télécommunications ou d'électricité, les pandémies, ainsi que les décisions d'autorités publiques rendant impossible l'exécution du contrat.</w:t>
      </w:r>
    </w:p>
    <w:p>
      <w:pPr>
        <w:pStyle w:val="Heading1"/>
        <w:spacing w:after="240" w:before="360"/>
      </w:pPr>
      <w:r>
        <w:rPr>
          <w:b/>
          <w:bCs/>
          <w:color w:val="1A3A5C"/>
          <w:sz w:val="32"/>
          <w:szCs w:val="32"/>
        </w:rPr>
        <w:t xml:space="preserve">ARTICLE 16 — MODIFICATION DES CGV</w:t>
      </w:r>
    </w:p>
    <w:p>
      <w:pPr>
        <w:spacing w:after="120" w:line="300"/>
        <w:jc w:val="both"/>
      </w:pPr>
      <w:r>
        <w:rPr>
          <w:sz w:val="22"/>
          <w:szCs w:val="22"/>
        </w:rPr>
        <w:t xml:space="preserve">NORMX AI se réserve le droit de modifier les présentes CGV à tout moment. La version applicable est celle en vigueur à la date de la commande. Les Abonnés en cours sont informés par email au moins 30 jours avant l'entrée en vigueur des modifications substantielles. En cas de désaccord, l'Abonné peut résilier son contrat sans frais et obtenir le remboursement prorata temporis du solde non consommé.</w:t>
      </w:r>
    </w:p>
    <w:p>
      <w:pPr>
        <w:pStyle w:val="Heading1"/>
        <w:spacing w:after="240" w:before="360"/>
      </w:pPr>
      <w:r>
        <w:rPr>
          <w:b/>
          <w:bCs/>
          <w:color w:val="1A3A5C"/>
          <w:sz w:val="32"/>
          <w:szCs w:val="32"/>
        </w:rPr>
        <w:t xml:space="preserve">ARTICLE 17 — DROIT APPLICABLE ET LITIGES</w:t>
      </w:r>
    </w:p>
    <w:p>
      <w:pPr>
        <w:pStyle w:val="Heading2"/>
        <w:spacing w:after="160" w:before="280"/>
      </w:pPr>
      <w:r>
        <w:rPr>
          <w:b/>
          <w:bCs/>
          <w:color w:val="1A3A5C"/>
          <w:sz w:val="26"/>
          <w:szCs w:val="26"/>
        </w:rPr>
        <w:t xml:space="preserve">17.1 Droit applicable</w:t>
      </w:r>
    </w:p>
    <w:p>
      <w:pPr>
        <w:spacing w:after="120" w:line="300"/>
        <w:jc w:val="both"/>
      </w:pPr>
      <w:r>
        <w:rPr>
          <w:sz w:val="22"/>
          <w:szCs w:val="22"/>
        </w:rPr>
        <w:t xml:space="preserve">Les présentes CGV sont soumises au droit français, sans préjudice des dispositions impératives de la loi du pays de résidence habituelle du Consommateur plus favorables à ce dernier.</w:t>
      </w:r>
    </w:p>
    <w:p>
      <w:pPr>
        <w:pStyle w:val="Heading2"/>
        <w:spacing w:after="160" w:before="280"/>
      </w:pPr>
      <w:r>
        <w:rPr>
          <w:b/>
          <w:bCs/>
          <w:color w:val="1A3A5C"/>
          <w:sz w:val="26"/>
          <w:szCs w:val="26"/>
        </w:rPr>
        <w:t xml:space="preserve">17.2 Règlement amiable</w:t>
      </w:r>
    </w:p>
    <w:p>
      <w:pPr>
        <w:spacing w:after="120" w:line="300"/>
        <w:jc w:val="both"/>
      </w:pPr>
      <w:r>
        <w:rPr>
          <w:sz w:val="22"/>
          <w:szCs w:val="22"/>
        </w:rPr>
        <w:t xml:space="preserve">En cas de différend, le Client est invité à contacter en priorité le service réclamation à l'adresse reclamation@normx-ai.com. NORMX AI s'engage à apporter une réponse motivée dans un délai de 30 jours.</w:t>
      </w:r>
    </w:p>
    <w:p>
      <w:pPr>
        <w:pStyle w:val="Heading2"/>
        <w:spacing w:after="160" w:before="280"/>
      </w:pPr>
      <w:r>
        <w:rPr>
          <w:b/>
          <w:bCs/>
          <w:color w:val="1A3A5C"/>
          <w:sz w:val="26"/>
          <w:szCs w:val="26"/>
        </w:rPr>
        <w:t xml:space="preserve">17.3 Médiation de la consommation</w:t>
      </w:r>
    </w:p>
    <w:p>
      <w:pPr>
        <w:spacing w:after="120" w:line="300"/>
        <w:jc w:val="both"/>
      </w:pPr>
      <w:r>
        <w:rPr>
          <w:sz w:val="22"/>
          <w:szCs w:val="22"/>
        </w:rPr>
        <w:t xml:space="preserve">Conformément aux articles L.611-1 et suivants du Code de la consommation, le Consommateur a la faculté de recourir gratuitement au service de médiation de la consommation suivant :</w:t>
      </w:r>
    </w:p>
    <w:p>
      <w:pPr>
        <w:pBdr>
          <w:top w:val="single" w:color="C62828" w:sz="8" w:space="4"/>
          <w:bottom w:val="single" w:color="C62828" w:sz="8" w:space="4"/>
          <w:left w:val="single" w:color="C62828" w:sz="8" w:space="4"/>
          <w:right w:val="single" w:color="C62828" w:sz="8" w:space="4"/>
        </w:pBdr>
        <w:shd w:fill="FFEBEE" w:val="clear"/>
        <w:spacing w:after="160" w:before="160"/>
        <w:jc w:val="center"/>
      </w:pPr>
      <w:r>
        <w:rPr>
          <w:b/>
          <w:bCs/>
          <w:color w:val="C62828"/>
          <w:sz w:val="22"/>
          <w:szCs w:val="22"/>
        </w:rPr>
        <w:t xml:space="preserve">⚠ Médiateur à désigner avant ouverture commerciale — à compléter dans la version 1.1</w:t>
      </w:r>
    </w:p>
    <w:p>
      <w:pPr>
        <w:spacing w:after="120" w:line="300"/>
        <w:jc w:val="both"/>
      </w:pPr>
      <w:r>
        <w:rPr>
          <w:sz w:val="22"/>
          <w:szCs w:val="22"/>
        </w:rPr>
        <w:t xml:space="preserve">Le Consommateur peut également recourir à la plateforme européenne de règlement en ligne des litiges (ODR) accessible à l'adresse : https://ec.europa.eu/consumers/odr.</w:t>
      </w:r>
    </w:p>
    <w:p>
      <w:pPr>
        <w:pStyle w:val="Heading2"/>
        <w:spacing w:after="160" w:before="280"/>
      </w:pPr>
      <w:r>
        <w:rPr>
          <w:b/>
          <w:bCs/>
          <w:color w:val="1A3A5C"/>
          <w:sz w:val="26"/>
          <w:szCs w:val="26"/>
        </w:rPr>
        <w:t xml:space="preserve">17.4 Juridictions compétentes</w:t>
      </w:r>
    </w:p>
    <w:p>
      <w:pPr>
        <w:spacing w:after="120" w:line="300"/>
        <w:jc w:val="both"/>
      </w:pPr>
      <w:r>
        <w:rPr>
          <w:sz w:val="22"/>
          <w:szCs w:val="22"/>
        </w:rPr>
        <w:t xml:space="preserve">À défaut de règlement amiable :</w:t>
      </w:r>
    </w:p>
    <w:p>
      <w:pPr>
        <w:pStyle w:val="ListParagraph"/>
        <w:numPr>
          <w:ilvl w:val="0"/>
          <w:numId w:val="2"/>
        </w:numPr>
        <w:spacing w:after="80" w:line="280"/>
      </w:pPr>
      <w:r>
        <w:rPr>
          <w:b/>
          <w:bCs/>
          <w:sz w:val="22"/>
          <w:szCs w:val="22"/>
        </w:rPr>
        <w:t xml:space="preserve">Pour les Consommateurs : </w:t>
      </w:r>
      <w:r>
        <w:rPr>
          <w:sz w:val="22"/>
          <w:szCs w:val="22"/>
        </w:rPr>
        <w:t xml:space="preserve">le litige pourra être porté, au choix du Consommateur, devant le tribunal du lieu où il demeurait au moment de la conclusion du contrat ou de la survenance du fait dommageable, ou devant le tribunal du lieu du siège social de NORMX AI, conformément à l'article R.631-3 du Code de la consommation.</w:t>
      </w:r>
    </w:p>
    <w:p>
      <w:pPr>
        <w:pStyle w:val="ListParagraph"/>
        <w:numPr>
          <w:ilvl w:val="0"/>
          <w:numId w:val="2"/>
        </w:numPr>
        <w:spacing w:after="80" w:line="280"/>
      </w:pPr>
      <w:r>
        <w:rPr>
          <w:b/>
          <w:bCs/>
          <w:sz w:val="22"/>
          <w:szCs w:val="22"/>
        </w:rPr>
        <w:t xml:space="preserve">Pour les Professionnels : </w:t>
      </w:r>
      <w:r>
        <w:rPr>
          <w:sz w:val="22"/>
          <w:szCs w:val="22"/>
        </w:rPr>
        <w:t xml:space="preserve">tout litige relatif à la formation, l'exécution ou l'interprétation des présentes CGV sera soumis à la compétence exclusive du Tribunal de commerce d'Amiens, nonobstant pluralité de défendeurs ou appel en garantie.</w:t>
      </w:r>
    </w:p>
    <w:p>
      <w:pPr>
        <w:pStyle w:val="Heading1"/>
        <w:spacing w:after="240" w:before="360"/>
      </w:pPr>
      <w:r>
        <w:rPr>
          <w:b/>
          <w:bCs/>
          <w:color w:val="1A3A5C"/>
          <w:sz w:val="32"/>
          <w:szCs w:val="32"/>
        </w:rPr>
        <w:t xml:space="preserve">ARTICLE 18 — DISPOSITIONS DIVERSES</w:t>
      </w:r>
    </w:p>
    <w:p>
      <w:pPr>
        <w:pStyle w:val="Heading2"/>
        <w:spacing w:after="160" w:before="280"/>
      </w:pPr>
      <w:r>
        <w:rPr>
          <w:b/>
          <w:bCs/>
          <w:color w:val="1A3A5C"/>
          <w:sz w:val="26"/>
          <w:szCs w:val="26"/>
        </w:rPr>
        <w:t xml:space="preserve">18.1 Intégralité</w:t>
      </w:r>
    </w:p>
    <w:p>
      <w:pPr>
        <w:spacing w:after="120" w:line="300"/>
        <w:jc w:val="both"/>
      </w:pPr>
      <w:r>
        <w:rPr>
          <w:sz w:val="22"/>
          <w:szCs w:val="22"/>
        </w:rPr>
        <w:t xml:space="preserve">Les présentes CGV, leurs annexes ainsi que les documents auxquels elles renvoient (Politique de Confidentialité, DPA le cas échéant) constituent l'intégralité de l'accord entre les parties concernant leur objet et remplacent toute communication, offre ou accord antérieur, verbal ou écrit.</w:t>
      </w:r>
    </w:p>
    <w:p>
      <w:pPr>
        <w:pStyle w:val="Heading2"/>
        <w:spacing w:after="160" w:before="280"/>
      </w:pPr>
      <w:r>
        <w:rPr>
          <w:b/>
          <w:bCs/>
          <w:color w:val="1A3A5C"/>
          <w:sz w:val="26"/>
          <w:szCs w:val="26"/>
        </w:rPr>
        <w:t xml:space="preserve">18.2 Nullité partielle</w:t>
      </w:r>
    </w:p>
    <w:p>
      <w:pPr>
        <w:spacing w:after="120" w:line="300"/>
        <w:jc w:val="both"/>
      </w:pPr>
      <w:r>
        <w:rPr>
          <w:sz w:val="22"/>
          <w:szCs w:val="22"/>
        </w:rPr>
        <w:t xml:space="preserve">Si une ou plusieurs stipulations des présentes CGV étaient déclarées nulles ou inapplicables, cette nullité n'affecterait pas la validité des autres stipulations.</w:t>
      </w:r>
    </w:p>
    <w:p>
      <w:pPr>
        <w:pStyle w:val="Heading2"/>
        <w:spacing w:after="160" w:before="280"/>
      </w:pPr>
      <w:r>
        <w:rPr>
          <w:b/>
          <w:bCs/>
          <w:color w:val="1A3A5C"/>
          <w:sz w:val="26"/>
          <w:szCs w:val="26"/>
        </w:rPr>
        <w:t xml:space="preserve">18.3 Non-renonciation</w:t>
      </w:r>
    </w:p>
    <w:p>
      <w:pPr>
        <w:spacing w:after="120" w:line="300"/>
        <w:jc w:val="both"/>
      </w:pPr>
      <w:r>
        <w:rPr>
          <w:sz w:val="22"/>
          <w:szCs w:val="22"/>
        </w:rPr>
        <w:t xml:space="preserve">Le fait pour l'une des parties de ne pas se prévaloir d'un manquement de l'autre partie à l'une quelconque des obligations des présentes CGV ne saurait être interprété comme une renonciation à s'en prévaloir ultérieurement.</w:t>
      </w:r>
    </w:p>
    <w:p>
      <w:pPr>
        <w:pStyle w:val="Heading2"/>
        <w:spacing w:after="160" w:before="280"/>
      </w:pPr>
      <w:r>
        <w:rPr>
          <w:b/>
          <w:bCs/>
          <w:color w:val="1A3A5C"/>
          <w:sz w:val="26"/>
          <w:szCs w:val="26"/>
        </w:rPr>
        <w:t xml:space="preserve">18.4 Cession</w:t>
      </w:r>
    </w:p>
    <w:p>
      <w:pPr>
        <w:spacing w:after="120" w:line="300"/>
        <w:jc w:val="both"/>
      </w:pPr>
      <w:r>
        <w:rPr>
          <w:sz w:val="22"/>
          <w:szCs w:val="22"/>
        </w:rPr>
        <w:t xml:space="preserve">NORMX AI pourra céder tout ou partie du contrat à tout tiers, notamment dans le cadre d'une restructuration de son capital ou d'une cession de son activité. Le Client en sera informé par tout moyen.</w:t>
      </w:r>
    </w:p>
    <w:p>
      <w:r>
        <w:br w:type="page"/>
      </w:r>
    </w:p>
    <w:p>
      <w:pPr>
        <w:spacing w:after="120" w:before="240"/>
        <w:jc w:val="center"/>
      </w:pPr>
      <w:r>
        <w:rPr>
          <w:b/>
          <w:bCs/>
          <w:color w:val="1A3A5C"/>
          <w:sz w:val="36"/>
          <w:szCs w:val="36"/>
        </w:rPr>
        <w:t xml:space="preserve">ANNEXE A</w:t>
      </w:r>
    </w:p>
    <w:p>
      <w:pPr>
        <w:spacing w:after="240"/>
        <w:jc w:val="center"/>
      </w:pPr>
      <w:r>
        <w:rPr>
          <w:b/>
          <w:bCs/>
          <w:color w:val="D4A843"/>
          <w:sz w:val="28"/>
          <w:szCs w:val="28"/>
        </w:rPr>
        <w:t xml:space="preserve">Conditions spécifiques à NormX Tax</w:t>
      </w:r>
    </w:p>
    <w:p>
      <w:pPr>
        <w:spacing w:after="360"/>
        <w:jc w:val="center"/>
      </w:pPr>
      <w:r>
        <w:rPr>
          <w:i/>
          <w:iCs/>
          <w:sz w:val="22"/>
          <w:szCs w:val="22"/>
        </w:rPr>
        <w:t xml:space="preserve">tax.normx-ai.com</w:t>
      </w:r>
    </w:p>
    <w:p>
      <w:pPr>
        <w:pStyle w:val="Heading1"/>
        <w:spacing w:after="240" w:before="360"/>
      </w:pPr>
      <w:r>
        <w:rPr>
          <w:b/>
          <w:bCs/>
          <w:color w:val="1A3A5C"/>
          <w:sz w:val="32"/>
          <w:szCs w:val="32"/>
        </w:rPr>
        <w:t xml:space="preserve">A.1 — OBJET DU SERVICE</w:t>
      </w:r>
    </w:p>
    <w:p>
      <w:pPr>
        <w:spacing w:after="120" w:line="300"/>
        <w:jc w:val="both"/>
      </w:pPr>
      <w:r>
        <w:rPr>
          <w:sz w:val="22"/>
          <w:szCs w:val="22"/>
        </w:rPr>
        <w:t xml:space="preserve">NormX Tax est une plateforme SaaS d'assistance fiscale basée sur l'intelligence artificielle, destinée aux professionnels du chiffre et du droit ainsi qu'aux entreprises et particuliers opérant dans les zones OHADA et CEMAC, avec une spécialisation initiale sur le Code Général des Impôts de la République du Congo (Congo-Brazzaville).</w:t>
      </w:r>
    </w:p>
    <w:p>
      <w:pPr>
        <w:pStyle w:val="Heading1"/>
        <w:spacing w:after="240" w:before="360"/>
      </w:pPr>
      <w:r>
        <w:rPr>
          <w:b/>
          <w:bCs/>
          <w:color w:val="1A3A5C"/>
          <w:sz w:val="32"/>
          <w:szCs w:val="32"/>
        </w:rPr>
        <w:t xml:space="preserve">A.2 — CIBLE</w:t>
      </w:r>
    </w:p>
    <w:p>
      <w:pPr>
        <w:pStyle w:val="ListParagraph"/>
        <w:numPr>
          <w:ilvl w:val="0"/>
          <w:numId w:val="2"/>
        </w:numPr>
        <w:spacing w:after="80" w:line="280"/>
      </w:pPr>
      <w:r>
        <w:rPr>
          <w:sz w:val="22"/>
          <w:szCs w:val="22"/>
        </w:rPr>
        <w:t xml:space="preserve">Experts-comptables et collaborateurs de cabinets</w:t>
      </w:r>
    </w:p>
    <w:p>
      <w:pPr>
        <w:pStyle w:val="ListParagraph"/>
        <w:numPr>
          <w:ilvl w:val="0"/>
          <w:numId w:val="2"/>
        </w:numPr>
        <w:spacing w:after="80" w:line="280"/>
      </w:pPr>
      <w:r>
        <w:rPr>
          <w:sz w:val="22"/>
          <w:szCs w:val="22"/>
        </w:rPr>
        <w:t xml:space="preserve">Fiscalistes et avocats fiscalistes</w:t>
      </w:r>
    </w:p>
    <w:p>
      <w:pPr>
        <w:pStyle w:val="ListParagraph"/>
        <w:numPr>
          <w:ilvl w:val="0"/>
          <w:numId w:val="2"/>
        </w:numPr>
        <w:spacing w:after="80" w:line="280"/>
      </w:pPr>
      <w:r>
        <w:rPr>
          <w:sz w:val="22"/>
          <w:szCs w:val="22"/>
        </w:rPr>
        <w:t xml:space="preserve">Directions fiscales d'entreprise</w:t>
      </w:r>
    </w:p>
    <w:p>
      <w:pPr>
        <w:pStyle w:val="ListParagraph"/>
        <w:numPr>
          <w:ilvl w:val="0"/>
          <w:numId w:val="2"/>
        </w:numPr>
        <w:spacing w:after="80" w:line="280"/>
      </w:pPr>
      <w:r>
        <w:rPr>
          <w:sz w:val="22"/>
          <w:szCs w:val="22"/>
        </w:rPr>
        <w:t xml:space="preserve">Dirigeants d'entreprises opérant en zone CEMAC/OHADA</w:t>
      </w:r>
    </w:p>
    <w:p>
      <w:pPr>
        <w:pStyle w:val="ListParagraph"/>
        <w:numPr>
          <w:ilvl w:val="0"/>
          <w:numId w:val="2"/>
        </w:numPr>
        <w:spacing w:after="80" w:line="280"/>
      </w:pPr>
      <w:r>
        <w:rPr>
          <w:sz w:val="22"/>
          <w:szCs w:val="22"/>
        </w:rPr>
        <w:t xml:space="preserve">Particuliers confrontés à des questions fiscales</w:t>
      </w:r>
    </w:p>
    <w:p>
      <w:pPr>
        <w:pStyle w:val="Heading1"/>
        <w:spacing w:after="240" w:before="360"/>
      </w:pPr>
      <w:r>
        <w:rPr>
          <w:b/>
          <w:bCs/>
          <w:color w:val="1A3A5C"/>
          <w:sz w:val="32"/>
          <w:szCs w:val="32"/>
        </w:rPr>
        <w:t xml:space="preserve">A.3 — FONCTIONNALITÉS</w:t>
      </w:r>
    </w:p>
    <w:p>
      <w:pPr>
        <w:pStyle w:val="ListParagraph"/>
        <w:numPr>
          <w:ilvl w:val="0"/>
          <w:numId w:val="2"/>
        </w:numPr>
        <w:spacing w:after="80" w:line="280"/>
      </w:pPr>
      <w:r>
        <w:rPr>
          <w:sz w:val="22"/>
          <w:szCs w:val="22"/>
        </w:rPr>
        <w:t xml:space="preserve">44 agents d'intelligence artificielle spécialisés : 36 agents fiscaux et 8 agents sociaux</w:t>
      </w:r>
    </w:p>
    <w:p>
      <w:pPr>
        <w:pStyle w:val="ListParagraph"/>
        <w:numPr>
          <w:ilvl w:val="0"/>
          <w:numId w:val="2"/>
        </w:numPr>
        <w:spacing w:after="80" w:line="280"/>
      </w:pPr>
      <w:r>
        <w:rPr>
          <w:sz w:val="22"/>
          <w:szCs w:val="22"/>
        </w:rPr>
        <w:t xml:space="preserve">16 simulateurs de calcul (impôt sur les sociétés, TVA, TVTS, retenues à la source, bulletins de paie, etc.)</w:t>
      </w:r>
    </w:p>
    <w:p>
      <w:pPr>
        <w:pStyle w:val="ListParagraph"/>
        <w:numPr>
          <w:ilvl w:val="0"/>
          <w:numId w:val="2"/>
        </w:numPr>
        <w:spacing w:after="80" w:line="280"/>
      </w:pPr>
      <w:r>
        <w:rPr>
          <w:sz w:val="22"/>
          <w:szCs w:val="22"/>
        </w:rPr>
        <w:t xml:space="preserve">2 outils d'audit de conformité fiscale et sociale</w:t>
      </w:r>
    </w:p>
    <w:p>
      <w:pPr>
        <w:pStyle w:val="ListParagraph"/>
        <w:numPr>
          <w:ilvl w:val="0"/>
          <w:numId w:val="2"/>
        </w:numPr>
        <w:spacing w:after="80" w:line="280"/>
      </w:pPr>
      <w:r>
        <w:rPr>
          <w:sz w:val="22"/>
          <w:szCs w:val="22"/>
        </w:rPr>
        <w:t xml:space="preserve">Bibliothèque de 16 conventions collectives avec moteur de recherche</w:t>
      </w:r>
    </w:p>
    <w:p>
      <w:pPr>
        <w:pStyle w:val="ListParagraph"/>
        <w:numPr>
          <w:ilvl w:val="0"/>
          <w:numId w:val="2"/>
        </w:numPr>
        <w:spacing w:after="80" w:line="280"/>
      </w:pPr>
      <w:r>
        <w:rPr>
          <w:sz w:val="22"/>
          <w:szCs w:val="22"/>
        </w:rPr>
        <w:t xml:space="preserve">Fonctionnalités d'export de documents (notes, rapports, fiches techniques)</w:t>
      </w:r>
    </w:p>
    <w:p>
      <w:pPr>
        <w:pStyle w:val="Heading1"/>
        <w:spacing w:after="240" w:before="360"/>
      </w:pPr>
      <w:r>
        <w:rPr>
          <w:b/>
          <w:bCs/>
          <w:color w:val="1A3A5C"/>
          <w:sz w:val="32"/>
          <w:szCs w:val="32"/>
        </w:rPr>
        <w:t xml:space="preserve">A.4 — FORMULES D'ABONNEMENT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Formule</w:t>
            </w:r>
          </w:p>
        </w:tc>
        <w:tc>
          <w:tcPr>
            <w:tcW w:type="dxa" w:w="1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Prix TTC</w:t>
            </w:r>
          </w:p>
        </w:tc>
        <w:tc>
          <w:tcPr>
            <w:tcW w:type="dxa" w:w="1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Durée</w:t>
            </w:r>
          </w:p>
        </w:tc>
        <w:tc>
          <w:tcPr>
            <w:tcW w:type="dxa" w:w="476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Périmètre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Découverte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Gratuit</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30 jours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Accès restreint à des fins d'évaluation : nombre limité de requêtes IA, pas d'export, un seul utilisateur.</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Essentiel</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79 € / an</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Accès aux agents IA fiscaux de base, aux simulateurs standards et à la bibliothèque de conventions collectives.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Pro</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150 € / an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Toutes les fonctionnalités Essentiel + agents sociaux + simulateurs avancés + exports illimités.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Cabinet</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390 € / an</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Toutes les fonctionnalités Pro + outils d'audit + accès multi-utilisateurs (jusqu'à 5 collaborateurs).</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A.5 — PACKS DE CRÉDITS</w:t>
      </w:r>
    </w:p>
    <w:p>
      <w:pPr>
        <w:spacing w:after="120" w:line="300"/>
        <w:jc w:val="both"/>
      </w:pPr>
      <w:r>
        <w:rPr>
          <w:sz w:val="22"/>
          <w:szCs w:val="22"/>
        </w:rPr>
        <w:t xml:space="preserve">Les Packs de Crédits permettent de consommer ponctuellement des fonctionnalités premium au-delà des quotas inclus dans les Formules d'Abonnement (requêtes supplémentaires, simulateurs avancés, exports complémentaires). Les prix sont affichés sur le Service lors de la commande. Les Crédits sont valables 12 mois à compter de la date d'achat et ne sont ni remboursables ni convertibles en numéraire.</w:t>
      </w:r>
    </w:p>
    <w:p>
      <w:pPr>
        <w:pStyle w:val="Heading1"/>
        <w:spacing w:after="240" w:before="360"/>
      </w:pPr>
      <w:r>
        <w:rPr>
          <w:b/>
          <w:bCs/>
          <w:color w:val="1A3A5C"/>
          <w:sz w:val="32"/>
          <w:szCs w:val="32"/>
        </w:rPr>
        <w:t xml:space="preserve">A.6 — SPÉCIFICITÉS JURIDIQUES</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Les réponses des agents IA de NormX Tax constituent une aide à la décision fiscale et ne peuvent en aucun cas se substituer à une consultation fiscale personnalisée délivrée par un professionnel habilité (expert-comptable, avocat fiscaliste). NORMX AI ne saurait être tenue responsable des conséquences fiscales ou des redressements résultant de l'usage des Contenus IA sans validation professionnelle.</w:t>
      </w:r>
    </w:p>
    <w:p>
      <w:pPr>
        <w:spacing w:after="120" w:line="300"/>
        <w:jc w:val="both"/>
      </w:pPr>
      <w:r>
        <w:rPr>
          <w:sz w:val="22"/>
          <w:szCs w:val="22"/>
        </w:rPr>
        <w:t xml:space="preserve">Les textes fiscaux et réglementaires évoluent en permanence. NORMX AI s'efforce de maintenir ses bases de connaissances à jour, notamment après chaque Loi de Finances annuelle, mais ne peut garantir une mise à jour en temps réel.</w:t>
      </w:r>
    </w:p>
    <w:p>
      <w:r>
        <w:br w:type="page"/>
      </w:r>
    </w:p>
    <w:p>
      <w:pPr>
        <w:spacing w:after="120" w:before="240"/>
        <w:jc w:val="center"/>
      </w:pPr>
      <w:r>
        <w:rPr>
          <w:b/>
          <w:bCs/>
          <w:color w:val="1A3A5C"/>
          <w:sz w:val="36"/>
          <w:szCs w:val="36"/>
        </w:rPr>
        <w:t xml:space="preserve">ANNEXE B</w:t>
      </w:r>
    </w:p>
    <w:p>
      <w:pPr>
        <w:spacing w:after="240"/>
        <w:jc w:val="center"/>
      </w:pPr>
      <w:r>
        <w:rPr>
          <w:b/>
          <w:bCs/>
          <w:color w:val="D4A843"/>
          <w:sz w:val="28"/>
          <w:szCs w:val="28"/>
        </w:rPr>
        <w:t xml:space="preserve">Conditions spécifiques à NormX Finance</w:t>
      </w:r>
    </w:p>
    <w:p>
      <w:pPr>
        <w:spacing w:after="360"/>
        <w:jc w:val="center"/>
      </w:pPr>
      <w:r>
        <w:rPr>
          <w:i/>
          <w:iCs/>
          <w:sz w:val="22"/>
          <w:szCs w:val="22"/>
        </w:rPr>
        <w:t xml:space="preserve">app.normx-ai.com</w:t>
      </w:r>
    </w:p>
    <w:p>
      <w:pPr>
        <w:pStyle w:val="Heading1"/>
        <w:spacing w:after="240" w:before="360"/>
      </w:pPr>
      <w:r>
        <w:rPr>
          <w:b/>
          <w:bCs/>
          <w:color w:val="1A3A5C"/>
          <w:sz w:val="32"/>
          <w:szCs w:val="32"/>
        </w:rPr>
        <w:t xml:space="preserve">B.1 — OBJET DU SERVICE</w:t>
      </w:r>
    </w:p>
    <w:p>
      <w:pPr>
        <w:spacing w:after="120" w:line="300"/>
        <w:jc w:val="both"/>
      </w:pPr>
      <w:r>
        <w:rPr>
          <w:sz w:val="22"/>
          <w:szCs w:val="22"/>
        </w:rPr>
        <w:t xml:space="preserve">NormX Finance est une plateforme SaaS de gestion comptable, de paie et de production d'états financiers conformes au référentiel SYSCOHADA (Acte uniforme OHADA relatif au droit comptable et à l'information financière — AUDCIF). Le Service s'adresse aux entreprises, cabinets et professionnels du chiffre opérant dans la zone OHADA.</w:t>
      </w:r>
    </w:p>
    <w:p>
      <w:pPr>
        <w:pStyle w:val="Heading1"/>
        <w:spacing w:after="240" w:before="360"/>
      </w:pPr>
      <w:r>
        <w:rPr>
          <w:b/>
          <w:bCs/>
          <w:color w:val="1A3A5C"/>
          <w:sz w:val="32"/>
          <w:szCs w:val="32"/>
        </w:rPr>
        <w:t xml:space="preserve">B.2 — CIBLE</w:t>
      </w:r>
    </w:p>
    <w:p>
      <w:pPr>
        <w:pStyle w:val="ListParagraph"/>
        <w:numPr>
          <w:ilvl w:val="0"/>
          <w:numId w:val="2"/>
        </w:numPr>
        <w:spacing w:after="80" w:line="280"/>
      </w:pPr>
      <w:r>
        <w:rPr>
          <w:sz w:val="22"/>
          <w:szCs w:val="22"/>
        </w:rPr>
        <w:t xml:space="preserve">Cabinets d'expertise comptable et fiduciaires OHADA</w:t>
      </w:r>
    </w:p>
    <w:p>
      <w:pPr>
        <w:pStyle w:val="ListParagraph"/>
        <w:numPr>
          <w:ilvl w:val="0"/>
          <w:numId w:val="2"/>
        </w:numPr>
        <w:spacing w:after="80" w:line="280"/>
      </w:pPr>
      <w:r>
        <w:rPr>
          <w:sz w:val="22"/>
          <w:szCs w:val="22"/>
        </w:rPr>
        <w:t xml:space="preserve">Directions financières et comptables d'entreprises OHADA</w:t>
      </w:r>
    </w:p>
    <w:p>
      <w:pPr>
        <w:pStyle w:val="ListParagraph"/>
        <w:numPr>
          <w:ilvl w:val="0"/>
          <w:numId w:val="2"/>
        </w:numPr>
        <w:spacing w:after="80" w:line="280"/>
      </w:pPr>
      <w:r>
        <w:rPr>
          <w:sz w:val="22"/>
          <w:szCs w:val="22"/>
        </w:rPr>
        <w:t xml:space="preserve">Services paie et ressources humaines</w:t>
      </w:r>
    </w:p>
    <w:p>
      <w:pPr>
        <w:pStyle w:val="ListParagraph"/>
        <w:numPr>
          <w:ilvl w:val="0"/>
          <w:numId w:val="2"/>
        </w:numPr>
        <w:spacing w:after="80" w:line="280"/>
      </w:pPr>
      <w:r>
        <w:rPr>
          <w:sz w:val="22"/>
          <w:szCs w:val="22"/>
        </w:rPr>
        <w:t xml:space="preserve">Dirigeants de TPE/PME cherchant à externaliser ou simplifier leur gestion comptable</w:t>
      </w:r>
    </w:p>
    <w:p>
      <w:pPr>
        <w:pStyle w:val="ListParagraph"/>
        <w:numPr>
          <w:ilvl w:val="0"/>
          <w:numId w:val="2"/>
        </w:numPr>
        <w:spacing w:after="80" w:line="280"/>
      </w:pPr>
      <w:r>
        <w:rPr>
          <w:sz w:val="22"/>
          <w:szCs w:val="22"/>
        </w:rPr>
        <w:t xml:space="preserve">Auditeurs et commissaires aux comptes (mode consultation)</w:t>
      </w:r>
    </w:p>
    <w:p>
      <w:pPr>
        <w:pStyle w:val="Heading1"/>
        <w:spacing w:after="240" w:before="360"/>
      </w:pPr>
      <w:r>
        <w:rPr>
          <w:b/>
          <w:bCs/>
          <w:color w:val="1A3A5C"/>
          <w:sz w:val="32"/>
          <w:szCs w:val="32"/>
        </w:rPr>
        <w:t xml:space="preserve">B.3 — FONCTIONNALITÉS</w:t>
      </w:r>
    </w:p>
    <w:p>
      <w:pPr>
        <w:pStyle w:val="Heading2"/>
        <w:spacing w:after="160" w:before="280"/>
      </w:pPr>
      <w:r>
        <w:rPr>
          <w:b/>
          <w:bCs/>
          <w:color w:val="1A3A5C"/>
          <w:sz w:val="26"/>
          <w:szCs w:val="26"/>
        </w:rPr>
        <w:t xml:space="preserve">B.3.1 Production d'états financiers SYSCOHADA</w:t>
      </w:r>
    </w:p>
    <w:p>
      <w:pPr>
        <w:pStyle w:val="ListParagraph"/>
        <w:numPr>
          <w:ilvl w:val="0"/>
          <w:numId w:val="2"/>
        </w:numPr>
        <w:spacing w:after="80" w:line="280"/>
      </w:pPr>
      <w:r>
        <w:rPr>
          <w:sz w:val="22"/>
          <w:szCs w:val="22"/>
        </w:rPr>
        <w:t xml:space="preserve">Bilan (actif et passif) — Système normal et système minimal de trésorerie</w:t>
      </w:r>
    </w:p>
    <w:p>
      <w:pPr>
        <w:pStyle w:val="ListParagraph"/>
        <w:numPr>
          <w:ilvl w:val="0"/>
          <w:numId w:val="2"/>
        </w:numPr>
        <w:spacing w:after="80" w:line="280"/>
      </w:pPr>
      <w:r>
        <w:rPr>
          <w:sz w:val="22"/>
          <w:szCs w:val="22"/>
        </w:rPr>
        <w:t xml:space="preserve">Compte de résultat</w:t>
      </w:r>
    </w:p>
    <w:p>
      <w:pPr>
        <w:pStyle w:val="ListParagraph"/>
        <w:numPr>
          <w:ilvl w:val="0"/>
          <w:numId w:val="2"/>
        </w:numPr>
        <w:spacing w:after="80" w:line="280"/>
      </w:pPr>
      <w:r>
        <w:rPr>
          <w:sz w:val="22"/>
          <w:szCs w:val="22"/>
        </w:rPr>
        <w:t xml:space="preserve">Tableau des flux de trésorerie (TAFIRE)</w:t>
      </w:r>
    </w:p>
    <w:p>
      <w:pPr>
        <w:pStyle w:val="ListParagraph"/>
        <w:numPr>
          <w:ilvl w:val="0"/>
          <w:numId w:val="2"/>
        </w:numPr>
        <w:spacing w:after="80" w:line="280"/>
      </w:pPr>
      <w:r>
        <w:rPr>
          <w:sz w:val="22"/>
          <w:szCs w:val="22"/>
        </w:rPr>
        <w:t xml:space="preserve">Annexes aux états financiers</w:t>
      </w:r>
    </w:p>
    <w:p>
      <w:pPr>
        <w:pStyle w:val="ListParagraph"/>
        <w:numPr>
          <w:ilvl w:val="0"/>
          <w:numId w:val="2"/>
        </w:numPr>
        <w:spacing w:after="80" w:line="280"/>
      </w:pPr>
      <w:r>
        <w:rPr>
          <w:sz w:val="22"/>
          <w:szCs w:val="22"/>
        </w:rPr>
        <w:t xml:space="preserve">États financiers consolidés (selon la formule souscrite)</w:t>
      </w:r>
    </w:p>
    <w:p>
      <w:pPr>
        <w:pStyle w:val="Heading2"/>
        <w:spacing w:after="160" w:before="280"/>
      </w:pPr>
      <w:r>
        <w:rPr>
          <w:b/>
          <w:bCs/>
          <w:color w:val="1A3A5C"/>
          <w:sz w:val="26"/>
          <w:szCs w:val="26"/>
        </w:rPr>
        <w:t xml:space="preserve">B.3.2 Comptabilité générale</w:t>
      </w:r>
    </w:p>
    <w:p>
      <w:pPr>
        <w:pStyle w:val="ListParagraph"/>
        <w:numPr>
          <w:ilvl w:val="0"/>
          <w:numId w:val="2"/>
        </w:numPr>
        <w:spacing w:after="80" w:line="280"/>
      </w:pPr>
      <w:r>
        <w:rPr>
          <w:sz w:val="22"/>
          <w:szCs w:val="22"/>
        </w:rPr>
        <w:t xml:space="preserve">Saisie des écritures selon le plan comptable SYSCOHADA (9 classes, codage décimal)</w:t>
      </w:r>
    </w:p>
    <w:p>
      <w:pPr>
        <w:pStyle w:val="ListParagraph"/>
        <w:numPr>
          <w:ilvl w:val="0"/>
          <w:numId w:val="2"/>
        </w:numPr>
        <w:spacing w:after="80" w:line="280"/>
      </w:pPr>
      <w:r>
        <w:rPr>
          <w:sz w:val="22"/>
          <w:szCs w:val="22"/>
        </w:rPr>
        <w:t xml:space="preserve">Journaux obligatoires, grand livre, balance</w:t>
      </w:r>
    </w:p>
    <w:p>
      <w:pPr>
        <w:pStyle w:val="ListParagraph"/>
        <w:numPr>
          <w:ilvl w:val="0"/>
          <w:numId w:val="2"/>
        </w:numPr>
        <w:spacing w:after="80" w:line="280"/>
      </w:pPr>
      <w:r>
        <w:rPr>
          <w:sz w:val="22"/>
          <w:szCs w:val="22"/>
        </w:rPr>
        <w:t xml:space="preserve">Lettrage et rapprochements bancaires</w:t>
      </w:r>
    </w:p>
    <w:p>
      <w:pPr>
        <w:pStyle w:val="ListParagraph"/>
        <w:numPr>
          <w:ilvl w:val="0"/>
          <w:numId w:val="2"/>
        </w:numPr>
        <w:spacing w:after="80" w:line="280"/>
      </w:pPr>
      <w:r>
        <w:rPr>
          <w:sz w:val="22"/>
          <w:szCs w:val="22"/>
        </w:rPr>
        <w:t xml:space="preserve">Clôture périodique et annuelle</w:t>
      </w:r>
    </w:p>
    <w:p>
      <w:pPr>
        <w:pStyle w:val="Heading2"/>
        <w:spacing w:after="160" w:before="280"/>
      </w:pPr>
      <w:r>
        <w:rPr>
          <w:b/>
          <w:bCs/>
          <w:color w:val="1A3A5C"/>
          <w:sz w:val="26"/>
          <w:szCs w:val="26"/>
        </w:rPr>
        <w:t xml:space="preserve">B.3.3 Paie</w:t>
      </w:r>
    </w:p>
    <w:p>
      <w:pPr>
        <w:pStyle w:val="ListParagraph"/>
        <w:numPr>
          <w:ilvl w:val="0"/>
          <w:numId w:val="2"/>
        </w:numPr>
        <w:spacing w:after="80" w:line="280"/>
      </w:pPr>
      <w:r>
        <w:rPr>
          <w:sz w:val="22"/>
          <w:szCs w:val="22"/>
        </w:rPr>
        <w:t xml:space="preserve">Gestion des bulletins de paie multi-pays OHADA</w:t>
      </w:r>
    </w:p>
    <w:p>
      <w:pPr>
        <w:pStyle w:val="ListParagraph"/>
        <w:numPr>
          <w:ilvl w:val="0"/>
          <w:numId w:val="2"/>
        </w:numPr>
        <w:spacing w:after="80" w:line="280"/>
      </w:pPr>
      <w:r>
        <w:rPr>
          <w:sz w:val="22"/>
          <w:szCs w:val="22"/>
        </w:rPr>
        <w:t xml:space="preserve">Calcul des cotisations sociales et retenues fiscales</w:t>
      </w:r>
    </w:p>
    <w:p>
      <w:pPr>
        <w:pStyle w:val="ListParagraph"/>
        <w:numPr>
          <w:ilvl w:val="0"/>
          <w:numId w:val="2"/>
        </w:numPr>
        <w:spacing w:after="80" w:line="280"/>
      </w:pPr>
      <w:r>
        <w:rPr>
          <w:sz w:val="22"/>
          <w:szCs w:val="22"/>
        </w:rPr>
        <w:t xml:space="preserve">Déclarations sociales obligatoires</w:t>
      </w:r>
    </w:p>
    <w:p>
      <w:pPr>
        <w:pStyle w:val="ListParagraph"/>
        <w:numPr>
          <w:ilvl w:val="0"/>
          <w:numId w:val="2"/>
        </w:numPr>
        <w:spacing w:after="80" w:line="280"/>
      </w:pPr>
      <w:r>
        <w:rPr>
          <w:sz w:val="22"/>
          <w:szCs w:val="22"/>
        </w:rPr>
        <w:t xml:space="preserve">Gestion des congés, absences et indemnités</w:t>
      </w:r>
    </w:p>
    <w:p>
      <w:pPr>
        <w:pStyle w:val="Heading1"/>
        <w:spacing w:after="240" w:before="360"/>
      </w:pPr>
      <w:r>
        <w:rPr>
          <w:b/>
          <w:bCs/>
          <w:color w:val="1A3A5C"/>
          <w:sz w:val="32"/>
          <w:szCs w:val="32"/>
        </w:rPr>
        <w:t xml:space="preserve">B.4 — FORMULES D'ABONNEMENT</w:t>
      </w:r>
    </w:p>
    <w:p>
      <w:pPr>
        <w:pBdr>
          <w:top w:val="single" w:color="C62828" w:sz="8" w:space="4"/>
          <w:bottom w:val="single" w:color="C62828" w:sz="8" w:space="4"/>
          <w:left w:val="single" w:color="C62828" w:sz="8" w:space="4"/>
          <w:right w:val="single" w:color="C62828" w:sz="8" w:space="4"/>
        </w:pBdr>
        <w:shd w:fill="FFEBEE" w:val="clear"/>
        <w:spacing w:after="160" w:before="160"/>
        <w:jc w:val="center"/>
      </w:pPr>
      <w:r>
        <w:rPr>
          <w:b/>
          <w:bCs/>
          <w:color w:val="C62828"/>
          <w:sz w:val="22"/>
          <w:szCs w:val="22"/>
        </w:rPr>
        <w:t xml:space="preserve">⚠ GRILLE TARIFAIRE À FINALISER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Formule</w:t>
            </w:r>
          </w:p>
        </w:tc>
        <w:tc>
          <w:tcPr>
            <w:tcW w:type="dxa" w:w="1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Prix TTC</w:t>
            </w:r>
          </w:p>
        </w:tc>
        <w:tc>
          <w:tcPr>
            <w:tcW w:type="dxa" w:w="1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Durée</w:t>
            </w:r>
          </w:p>
        </w:tc>
        <w:tc>
          <w:tcPr>
            <w:tcW w:type="dxa" w:w="476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Périmètre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Découverte</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[Description à compléter]</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[Formule 1]</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 €/an</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[Périmètre fonctionnel à compléter : comptabilité, paie, états financiers…]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[Formule 2]</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 €/an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[Périmètre fonctionnel à compléter]</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[Formule 3]</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 €/an</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[Périmètre fonctionnel à compléter — formule cabinet multi-utilisateurs, multi-dossiers]</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B.5 — PACKS DE CRÉDITS</w:t>
      </w:r>
    </w:p>
    <w:p>
      <w:pPr>
        <w:pBdr>
          <w:top w:val="single" w:color="C62828" w:sz="8" w:space="4"/>
          <w:bottom w:val="single" w:color="C62828" w:sz="8" w:space="4"/>
          <w:left w:val="single" w:color="C62828" w:sz="8" w:space="4"/>
          <w:right w:val="single" w:color="C62828" w:sz="8" w:space="4"/>
        </w:pBdr>
        <w:shd w:fill="FFEBEE" w:val="clear"/>
        <w:spacing w:after="160" w:before="160"/>
        <w:jc w:val="center"/>
      </w:pPr>
      <w:r>
        <w:rPr>
          <w:b/>
          <w:bCs/>
          <w:color w:val="C62828"/>
          <w:sz w:val="22"/>
          <w:szCs w:val="22"/>
        </w:rPr>
        <w:t xml:space="preserve">⚠ À DÉFINIR — Système de crédits en cours de définition</w:t>
      </w:r>
    </w:p>
    <w:p>
      <w:pPr>
        <w:spacing w:after="120" w:line="300"/>
        <w:jc w:val="both"/>
      </w:pPr>
      <w:r>
        <w:rPr>
          <w:i/>
          <w:iCs/>
          <w:sz w:val="22"/>
          <w:szCs w:val="22"/>
        </w:rPr>
        <w:t xml:space="preserve">Des Packs de Crédits pourront être proposés ultérieurement pour des consommations ponctuelles au-delà des quotas inclus dans les Formules d'Abonnement.</w:t>
      </w:r>
    </w:p>
    <w:p>
      <w:pPr>
        <w:pStyle w:val="Heading1"/>
        <w:spacing w:after="240" w:before="360"/>
      </w:pPr>
      <w:r>
        <w:rPr>
          <w:b/>
          <w:bCs/>
          <w:color w:val="1A3A5C"/>
          <w:sz w:val="32"/>
          <w:szCs w:val="32"/>
        </w:rPr>
        <w:t xml:space="preserve">B.6 — SPÉCIFICITÉS JURIDIQUES</w:t>
      </w:r>
    </w:p>
    <w:p>
      <w:pPr>
        <w:pStyle w:val="Heading2"/>
        <w:spacing w:after="160" w:before="280"/>
      </w:pPr>
      <w:r>
        <w:rPr>
          <w:b/>
          <w:bCs/>
          <w:color w:val="1A3A5C"/>
          <w:sz w:val="26"/>
          <w:szCs w:val="26"/>
        </w:rPr>
        <w:t xml:space="preserve">B.6.1 Accord de Traitement des Données obligatoire</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Lorsque le Client Professionnel utilise NormX Finance pour traiter des données relatives à ses propres clients ou à ses salariés (données d'identification, de rémunération, de RIB, de cotisations sociales, etc.), il agit en qualité de responsable de traitement et NORMX AI intervient en qualité de sous-traitant au sens de l'article 28 du RGPD. La conclusion d'un Accord de Traitement des Données (DPA) distinct est obligatoire avant tout usage professionnel du Service.</w:t>
      </w:r>
    </w:p>
    <w:p>
      <w:pPr>
        <w:pStyle w:val="Heading2"/>
        <w:spacing w:after="160" w:before="280"/>
      </w:pPr>
      <w:r>
        <w:rPr>
          <w:b/>
          <w:bCs/>
          <w:color w:val="1A3A5C"/>
          <w:sz w:val="26"/>
          <w:szCs w:val="26"/>
        </w:rPr>
        <w:t xml:space="preserve">B.6.2 Minimisation des données sensibles</w:t>
      </w:r>
    </w:p>
    <w:p>
      <w:pPr>
        <w:spacing w:after="120" w:line="300"/>
        <w:jc w:val="both"/>
      </w:pPr>
      <w:r>
        <w:rPr>
          <w:sz w:val="22"/>
          <w:szCs w:val="22"/>
        </w:rPr>
        <w:t xml:space="preserve">Le Client s'engage à ne pas importer dans le Service de données personnelles sensibles au sens de l'article 9 du RGPD (données de santé, opinions politiques, etc.) sauf nécessité absolue et base légale appropriée. En particulier, les numéros de sécurité sociale (NIR), les données bancaires en clair et les pièces d'identité ne doivent être saisis que dans les champs dédiés prévus à cet effet, qui font l'objet d'un chiffrement renforcé.</w:t>
      </w:r>
    </w:p>
    <w:p>
      <w:pPr>
        <w:pStyle w:val="Heading2"/>
        <w:spacing w:after="160" w:before="280"/>
      </w:pPr>
      <w:r>
        <w:rPr>
          <w:b/>
          <w:bCs/>
          <w:color w:val="1A3A5C"/>
          <w:sz w:val="26"/>
          <w:szCs w:val="26"/>
        </w:rPr>
        <w:t xml:space="preserve">B.6.3 Conservation des données comptables</w:t>
      </w:r>
    </w:p>
    <w:p>
      <w:pPr>
        <w:spacing w:after="120" w:line="300"/>
        <w:jc w:val="both"/>
      </w:pPr>
      <w:r>
        <w:rPr>
          <w:sz w:val="22"/>
          <w:szCs w:val="22"/>
        </w:rPr>
        <w:t xml:space="preserve">Conformément à l'article 17 de l'Acte uniforme OHADA relatif au droit comptable et à l'information financière (AUDCIF) et à l'article L.123-22 du Code de commerce français, les documents comptables et pièces justificatives doivent être conservés pendant dix (10) ans. NORMX AI assure la conservation des données comptables du Client pendant la durée de l'abonnement ; à la résiliation, le Client dispose d'un délai de 90 jours pour exporter ses données, après quoi elles sont définitivement supprimées. Il appartient au Client de procéder à cet export pour respecter ses propres obligations légales de conservation.</w:t>
      </w:r>
    </w:p>
    <w:p>
      <w:pPr>
        <w:pStyle w:val="Heading2"/>
        <w:spacing w:after="160" w:before="280"/>
      </w:pPr>
      <w:r>
        <w:rPr>
          <w:b/>
          <w:bCs/>
          <w:color w:val="1A3A5C"/>
          <w:sz w:val="26"/>
          <w:szCs w:val="26"/>
        </w:rPr>
        <w:t xml:space="preserve">B.6.4 Validation professionnelle</w:t>
      </w:r>
    </w:p>
    <w:p>
      <w:pPr>
        <w:spacing w:after="120" w:line="300"/>
        <w:jc w:val="both"/>
      </w:pPr>
      <w:r>
        <w:rPr>
          <w:sz w:val="22"/>
          <w:szCs w:val="22"/>
        </w:rPr>
        <w:t xml:space="preserve">Les états financiers, déclarations sociales et bulletins de paie générés par NormX Finance doivent être validés et signés par un professionnel qualifié (expert-comptable, commissaire aux comptes, responsable RH dûment habilité) avant tout dépôt, transmission ou communication aux tiers. NORMX AI ne saurait être tenue responsable des erreurs ou manquements résultant de l'absence de validation professionnelle.</w:t>
      </w:r>
    </w:p>
    <w:p>
      <w:r>
        <w:br w:type="page"/>
      </w:r>
    </w:p>
    <w:p>
      <w:pPr>
        <w:spacing w:after="120" w:before="240"/>
        <w:jc w:val="center"/>
      </w:pPr>
      <w:r>
        <w:rPr>
          <w:b/>
          <w:bCs/>
          <w:color w:val="1A3A5C"/>
          <w:sz w:val="36"/>
          <w:szCs w:val="36"/>
        </w:rPr>
        <w:t xml:space="preserve">ANNEXE C</w:t>
      </w:r>
    </w:p>
    <w:p>
      <w:pPr>
        <w:spacing w:after="240"/>
        <w:jc w:val="center"/>
      </w:pPr>
      <w:r>
        <w:rPr>
          <w:b/>
          <w:bCs/>
          <w:color w:val="D4A843"/>
          <w:sz w:val="28"/>
          <w:szCs w:val="28"/>
        </w:rPr>
        <w:t xml:space="preserve">Conditions spécifiques à NormX Legal</w:t>
      </w:r>
    </w:p>
    <w:p>
      <w:pPr>
        <w:spacing w:after="360"/>
        <w:jc w:val="center"/>
      </w:pPr>
      <w:r>
        <w:rPr>
          <w:i/>
          <w:iCs/>
          <w:sz w:val="22"/>
          <w:szCs w:val="22"/>
        </w:rPr>
        <w:t xml:space="preserve">legal.normx-ai.com</w:t>
      </w:r>
    </w:p>
    <w:p>
      <w:pPr>
        <w:pStyle w:val="Heading1"/>
        <w:spacing w:after="240" w:before="360"/>
      </w:pPr>
      <w:r>
        <w:rPr>
          <w:b/>
          <w:bCs/>
          <w:color w:val="1A3A5C"/>
          <w:sz w:val="32"/>
          <w:szCs w:val="32"/>
        </w:rPr>
        <w:t xml:space="preserve">C.1 — OBJET DU SERVICE</w:t>
      </w:r>
    </w:p>
    <w:p>
      <w:pPr>
        <w:spacing w:after="120" w:line="300"/>
        <w:jc w:val="both"/>
      </w:pPr>
      <w:r>
        <w:rPr>
          <w:sz w:val="22"/>
          <w:szCs w:val="22"/>
        </w:rPr>
        <w:t xml:space="preserve">NormX Legal est une plateforme SaaS d'assistance juridique par intelligence artificielle spécialisée sur le droit OHADA des sociétés commerciales. Le Service s'appuie sur les textes officiels publiés au Journal Officiel OHADA, notamment l'Acte uniforme révisé relatif au droit des sociétés commerciales et du groupement d'intérêt économique (AUSCGIE), et permet la génération d'actes juridiques conformes.</w:t>
      </w:r>
    </w:p>
    <w:p>
      <w:pPr>
        <w:pStyle w:val="Heading1"/>
        <w:spacing w:after="240" w:before="360"/>
      </w:pPr>
      <w:r>
        <w:rPr>
          <w:b/>
          <w:bCs/>
          <w:color w:val="1A3A5C"/>
          <w:sz w:val="32"/>
          <w:szCs w:val="32"/>
        </w:rPr>
        <w:t xml:space="preserve">C.2 — CIBLE</w:t>
      </w:r>
    </w:p>
    <w:p>
      <w:pPr>
        <w:pStyle w:val="ListParagraph"/>
        <w:numPr>
          <w:ilvl w:val="0"/>
          <w:numId w:val="2"/>
        </w:numPr>
        <w:spacing w:after="80" w:line="280"/>
      </w:pPr>
      <w:r>
        <w:rPr>
          <w:sz w:val="22"/>
          <w:szCs w:val="22"/>
        </w:rPr>
        <w:t xml:space="preserve">Juristes d'entreprise et directions juridiques OHADA</w:t>
      </w:r>
    </w:p>
    <w:p>
      <w:pPr>
        <w:pStyle w:val="ListParagraph"/>
        <w:numPr>
          <w:ilvl w:val="0"/>
          <w:numId w:val="2"/>
        </w:numPr>
        <w:spacing w:after="80" w:line="280"/>
      </w:pPr>
      <w:r>
        <w:rPr>
          <w:sz w:val="22"/>
          <w:szCs w:val="22"/>
        </w:rPr>
        <w:t xml:space="preserve">Avocats d'affaires et cabinets d'avocats OHADA</w:t>
      </w:r>
    </w:p>
    <w:p>
      <w:pPr>
        <w:pStyle w:val="ListParagraph"/>
        <w:numPr>
          <w:ilvl w:val="0"/>
          <w:numId w:val="2"/>
        </w:numPr>
        <w:spacing w:after="80" w:line="280"/>
      </w:pPr>
      <w:r>
        <w:rPr>
          <w:sz w:val="22"/>
          <w:szCs w:val="22"/>
        </w:rPr>
        <w:t xml:space="preserve">Experts-comptables intervenant sur le volet juridique (statuts, PV, AGE)</w:t>
      </w:r>
    </w:p>
    <w:p>
      <w:pPr>
        <w:pStyle w:val="ListParagraph"/>
        <w:numPr>
          <w:ilvl w:val="0"/>
          <w:numId w:val="2"/>
        </w:numPr>
        <w:spacing w:after="80" w:line="280"/>
      </w:pPr>
      <w:r>
        <w:rPr>
          <w:sz w:val="22"/>
          <w:szCs w:val="22"/>
        </w:rPr>
        <w:t xml:space="preserve">Notaires opérant en zone OHADA</w:t>
      </w:r>
    </w:p>
    <w:p>
      <w:pPr>
        <w:pStyle w:val="ListParagraph"/>
        <w:numPr>
          <w:ilvl w:val="0"/>
          <w:numId w:val="2"/>
        </w:numPr>
        <w:spacing w:after="80" w:line="280"/>
      </w:pPr>
      <w:r>
        <w:rPr>
          <w:sz w:val="22"/>
          <w:szCs w:val="22"/>
        </w:rPr>
        <w:t xml:space="preserve">Dirigeants et fondateurs de sociétés OHADA</w:t>
      </w:r>
    </w:p>
    <w:p>
      <w:pPr>
        <w:pStyle w:val="Heading1"/>
        <w:spacing w:after="240" w:before="360"/>
      </w:pPr>
      <w:r>
        <w:rPr>
          <w:b/>
          <w:bCs/>
          <w:color w:val="1A3A5C"/>
          <w:sz w:val="32"/>
          <w:szCs w:val="32"/>
        </w:rPr>
        <w:t xml:space="preserve">C.3 — FONCTIONNALITÉS</w:t>
      </w:r>
    </w:p>
    <w:p>
      <w:pPr>
        <w:pStyle w:val="Heading2"/>
        <w:spacing w:after="160" w:before="280"/>
      </w:pPr>
      <w:r>
        <w:rPr>
          <w:b/>
          <w:bCs/>
          <w:color w:val="1A3A5C"/>
          <w:sz w:val="26"/>
          <w:szCs w:val="26"/>
        </w:rPr>
        <w:t xml:space="preserve">C.3.1 Agents IA juridiques OHADA</w:t>
      </w:r>
    </w:p>
    <w:p>
      <w:pPr>
        <w:pStyle w:val="ListParagraph"/>
        <w:numPr>
          <w:ilvl w:val="0"/>
          <w:numId w:val="2"/>
        </w:numPr>
        <w:spacing w:after="80" w:line="280"/>
      </w:pPr>
      <w:r>
        <w:rPr>
          <w:sz w:val="22"/>
          <w:szCs w:val="22"/>
        </w:rPr>
        <w:t xml:space="preserve">Recherche intelligente dans le Journal Officiel OHADA et les Actes uniformes</w:t>
      </w:r>
    </w:p>
    <w:p>
      <w:pPr>
        <w:pStyle w:val="ListParagraph"/>
        <w:numPr>
          <w:ilvl w:val="0"/>
          <w:numId w:val="2"/>
        </w:numPr>
        <w:spacing w:after="80" w:line="280"/>
      </w:pPr>
      <w:r>
        <w:rPr>
          <w:sz w:val="22"/>
          <w:szCs w:val="22"/>
        </w:rPr>
        <w:t xml:space="preserve">Analyse et interprétation de l'AUSCGIE et textes connexes</w:t>
      </w:r>
    </w:p>
    <w:p>
      <w:pPr>
        <w:pStyle w:val="ListParagraph"/>
        <w:numPr>
          <w:ilvl w:val="0"/>
          <w:numId w:val="2"/>
        </w:numPr>
        <w:spacing w:after="80" w:line="280"/>
      </w:pPr>
      <w:r>
        <w:rPr>
          <w:sz w:val="22"/>
          <w:szCs w:val="22"/>
        </w:rPr>
        <w:t xml:space="preserve">Aide à la qualification juridique d'opérations sur le capital social, les cessions, les fusions, etc.</w:t>
      </w:r>
    </w:p>
    <w:p>
      <w:pPr>
        <w:pStyle w:val="ListParagraph"/>
        <w:numPr>
          <w:ilvl w:val="0"/>
          <w:numId w:val="2"/>
        </w:numPr>
        <w:spacing w:after="80" w:line="280"/>
      </w:pPr>
      <w:r>
        <w:rPr>
          <w:sz w:val="22"/>
          <w:szCs w:val="22"/>
        </w:rPr>
        <w:t xml:space="preserve">Veille jurisprudentielle CCJA (Cour Commune de Justice et d'Arbitrage)</w:t>
      </w:r>
    </w:p>
    <w:p>
      <w:pPr>
        <w:pStyle w:val="Heading2"/>
        <w:spacing w:after="160" w:before="280"/>
      </w:pPr>
      <w:r>
        <w:rPr>
          <w:b/>
          <w:bCs/>
          <w:color w:val="1A3A5C"/>
          <w:sz w:val="26"/>
          <w:szCs w:val="26"/>
        </w:rPr>
        <w:t xml:space="preserve">C.3.2 Génération d'actes</w:t>
      </w:r>
    </w:p>
    <w:p>
      <w:pPr>
        <w:pStyle w:val="ListParagraph"/>
        <w:numPr>
          <w:ilvl w:val="0"/>
          <w:numId w:val="2"/>
        </w:numPr>
        <w:spacing w:after="80" w:line="280"/>
      </w:pPr>
      <w:r>
        <w:rPr>
          <w:sz w:val="22"/>
          <w:szCs w:val="22"/>
        </w:rPr>
        <w:t xml:space="preserve">Statuts de sociétés (SA, SARL, SAS, SNC, SCS, etc.) conformes à l'AUSCGIE</w:t>
      </w:r>
    </w:p>
    <w:p>
      <w:pPr>
        <w:pStyle w:val="ListParagraph"/>
        <w:numPr>
          <w:ilvl w:val="0"/>
          <w:numId w:val="2"/>
        </w:numPr>
        <w:spacing w:after="80" w:line="280"/>
      </w:pPr>
      <w:r>
        <w:rPr>
          <w:sz w:val="22"/>
          <w:szCs w:val="22"/>
        </w:rPr>
        <w:t xml:space="preserve">Procès-verbaux d'assemblées générales (ordinaires, extraordinaires, mixtes)</w:t>
      </w:r>
    </w:p>
    <w:p>
      <w:pPr>
        <w:pStyle w:val="ListParagraph"/>
        <w:numPr>
          <w:ilvl w:val="0"/>
          <w:numId w:val="2"/>
        </w:numPr>
        <w:spacing w:after="80" w:line="280"/>
      </w:pPr>
      <w:r>
        <w:rPr>
          <w:sz w:val="22"/>
          <w:szCs w:val="22"/>
        </w:rPr>
        <w:t xml:space="preserve">Actes de cession de parts sociales ou d'actions</w:t>
      </w:r>
    </w:p>
    <w:p>
      <w:pPr>
        <w:pStyle w:val="ListParagraph"/>
        <w:numPr>
          <w:ilvl w:val="0"/>
          <w:numId w:val="2"/>
        </w:numPr>
        <w:spacing w:after="80" w:line="280"/>
      </w:pPr>
      <w:r>
        <w:rPr>
          <w:sz w:val="22"/>
          <w:szCs w:val="22"/>
        </w:rPr>
        <w:t xml:space="preserve">Procès-verbaux de nomination et de cessation des mandats sociaux</w:t>
      </w:r>
    </w:p>
    <w:p>
      <w:pPr>
        <w:pStyle w:val="ListParagraph"/>
        <w:numPr>
          <w:ilvl w:val="0"/>
          <w:numId w:val="2"/>
        </w:numPr>
        <w:spacing w:after="80" w:line="280"/>
      </w:pPr>
      <w:r>
        <w:rPr>
          <w:sz w:val="22"/>
          <w:szCs w:val="22"/>
        </w:rPr>
        <w:t xml:space="preserve">Conventions réglementées et rapports y afférents</w:t>
      </w:r>
    </w:p>
    <w:p>
      <w:pPr>
        <w:pStyle w:val="ListParagraph"/>
        <w:numPr>
          <w:ilvl w:val="0"/>
          <w:numId w:val="2"/>
        </w:numPr>
        <w:spacing w:after="80" w:line="280"/>
      </w:pPr>
      <w:r>
        <w:rPr>
          <w:sz w:val="22"/>
          <w:szCs w:val="22"/>
        </w:rPr>
        <w:t xml:space="preserve">Documents relatifs aux opérations de restructuration (fusion, scission, apport partiel d'actif)</w:t>
      </w:r>
    </w:p>
    <w:p>
      <w:pPr>
        <w:pStyle w:val="ListParagraph"/>
        <w:numPr>
          <w:ilvl w:val="0"/>
          <w:numId w:val="2"/>
        </w:numPr>
        <w:spacing w:after="80" w:line="280"/>
      </w:pPr>
      <w:r>
        <w:rPr>
          <w:sz w:val="22"/>
          <w:szCs w:val="22"/>
        </w:rPr>
        <w:t xml:space="preserve">Courriers juridiques types</w:t>
      </w:r>
    </w:p>
    <w:p>
      <w:pPr>
        <w:pStyle w:val="Heading1"/>
        <w:spacing w:after="240" w:before="360"/>
      </w:pPr>
      <w:r>
        <w:rPr>
          <w:b/>
          <w:bCs/>
          <w:color w:val="1A3A5C"/>
          <w:sz w:val="32"/>
          <w:szCs w:val="32"/>
        </w:rPr>
        <w:t xml:space="preserve">C.4 — FORMULES D'ABONNEMENT</w:t>
      </w:r>
    </w:p>
    <w:p>
      <w:pPr>
        <w:pBdr>
          <w:top w:val="single" w:color="C62828" w:sz="8" w:space="4"/>
          <w:bottom w:val="single" w:color="C62828" w:sz="8" w:space="4"/>
          <w:left w:val="single" w:color="C62828" w:sz="8" w:space="4"/>
          <w:right w:val="single" w:color="C62828" w:sz="8" w:space="4"/>
        </w:pBdr>
        <w:shd w:fill="FFEBEE" w:val="clear"/>
        <w:spacing w:after="160" w:before="160"/>
        <w:jc w:val="center"/>
      </w:pPr>
      <w:r>
        <w:rPr>
          <w:b/>
          <w:bCs/>
          <w:color w:val="C62828"/>
          <w:sz w:val="22"/>
          <w:szCs w:val="22"/>
        </w:rPr>
        <w:t xml:space="preserve">⚠ GRILLE TARIFAIRE À FINALISER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Formule</w:t>
            </w:r>
          </w:p>
        </w:tc>
        <w:tc>
          <w:tcPr>
            <w:tcW w:type="dxa" w:w="1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Prix TTC</w:t>
            </w:r>
          </w:p>
        </w:tc>
        <w:tc>
          <w:tcPr>
            <w:tcW w:type="dxa" w:w="140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Durée</w:t>
            </w:r>
          </w:p>
        </w:tc>
        <w:tc>
          <w:tcPr>
            <w:tcW w:type="dxa" w:w="4760"/>
            <w:tcBorders>
              <w:top w:val="single" w:color="CCCCCC" w:sz="4"/>
              <w:left w:val="single" w:color="CCCCCC" w:sz="4"/>
              <w:bottom w:val="single" w:color="CCCCCC" w:sz="4"/>
              <w:right w:val="single" w:color="CCCCCC" w:sz="4"/>
            </w:tcBorders>
            <w:shd w:fill="1A3A5C" w:val="clear"/>
            <w:tcMar>
              <w:top w:type="dxa" w:w="100"/>
              <w:left w:type="dxa" w:w="140"/>
              <w:bottom w:type="dxa" w:w="100"/>
              <w:right w:type="dxa" w:w="140"/>
            </w:tcMar>
          </w:tcPr>
          <w:p>
            <w:pPr>
              <w:jc w:val="left"/>
            </w:pPr>
            <w:r>
              <w:rPr>
                <w:b/>
                <w:bCs/>
                <w:color w:val="FFFFFF"/>
                <w:sz w:val="20"/>
                <w:szCs w:val="20"/>
              </w:rPr>
              <w:t xml:space="preserve">Périmètre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Découverte</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[Description à compléter]</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[Formule 1]</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 €/an</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[Périmètre fonctionnel à compléter : recherche OHADA, actes de base…]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bCs/>
                <w:sz w:val="20"/>
                <w:szCs w:val="20"/>
              </w:rPr>
              <w:t xml:space="preserve">[Formule 2]</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 €/an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[Périmètre fonctionnel à compléter : génération d'actes avancés, conventions réglementées…]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b/>
                <w:bCs/>
                <w:sz w:val="20"/>
                <w:szCs w:val="20"/>
              </w:rPr>
              <w:t xml:space="preserve">[Formule 3]</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color w:val="C62828"/>
                <w:sz w:val="20"/>
                <w:szCs w:val="20"/>
              </w:rPr>
              <w:t xml:space="preserve">[à définir] €/an</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sz w:val="20"/>
                <w:szCs w:val="20"/>
              </w:rPr>
              <w:t xml:space="preserve">12 mois</w:t>
            </w:r>
          </w:p>
        </w:tc>
        <w:tc>
          <w:tcPr>
            <w:tcW w:type="dxa" w:w="476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tcPr>
          <w:p>
            <w:pPr>
              <w:jc w:val="left"/>
            </w:pPr>
            <w:r>
              <w:rPr>
                <w:i/>
                <w:iCs/>
                <w:color w:val="C62828"/>
                <w:sz w:val="20"/>
                <w:szCs w:val="20"/>
              </w:rPr>
              <w:t xml:space="preserve">[Périmètre fonctionnel à compléter — formule cabinet multi-utilisateurs, volume élevé d'actes]</w:t>
            </w:r>
          </w:p>
        </w:tc>
      </w:tr>
    </w:tbl>
    <w:p>
      <w:pPr>
        <w:spacing w:after="120" w:line="300"/>
        <w:jc w:val="both"/>
      </w:pPr>
      <w:r>
        <w:rPr>
          <w:sz w:val="22"/>
          <w:szCs w:val="22"/>
        </w:rPr>
        <w:t xml:space="preserve"/>
      </w:r>
    </w:p>
    <w:p>
      <w:pPr>
        <w:pStyle w:val="Heading1"/>
        <w:spacing w:after="240" w:before="360"/>
      </w:pPr>
      <w:r>
        <w:rPr>
          <w:b/>
          <w:bCs/>
          <w:color w:val="1A3A5C"/>
          <w:sz w:val="32"/>
          <w:szCs w:val="32"/>
        </w:rPr>
        <w:t xml:space="preserve">C.5 — PACKS DE CRÉDITS</w:t>
      </w:r>
    </w:p>
    <w:p>
      <w:pPr>
        <w:pBdr>
          <w:top w:val="single" w:color="C62828" w:sz="8" w:space="4"/>
          <w:bottom w:val="single" w:color="C62828" w:sz="8" w:space="4"/>
          <w:left w:val="single" w:color="C62828" w:sz="8" w:space="4"/>
          <w:right w:val="single" w:color="C62828" w:sz="8" w:space="4"/>
        </w:pBdr>
        <w:shd w:fill="FFEBEE" w:val="clear"/>
        <w:spacing w:after="160" w:before="160"/>
        <w:jc w:val="center"/>
      </w:pPr>
      <w:r>
        <w:rPr>
          <w:b/>
          <w:bCs/>
          <w:color w:val="C62828"/>
          <w:sz w:val="22"/>
          <w:szCs w:val="22"/>
        </w:rPr>
        <w:t xml:space="preserve">⚠ À DÉFINIR — Système de crédits en cours de définition</w:t>
      </w:r>
    </w:p>
    <w:p>
      <w:pPr>
        <w:spacing w:after="120" w:line="300"/>
        <w:jc w:val="both"/>
      </w:pPr>
      <w:r>
        <w:rPr>
          <w:i/>
          <w:iCs/>
          <w:sz w:val="22"/>
          <w:szCs w:val="22"/>
        </w:rPr>
        <w:t xml:space="preserve">Des Packs de Crédits pourront être proposés pour la génération d'actes juridiques à l'unité, au-delà des quotas inclus dans les Formules d'Abonnement.</w:t>
      </w:r>
    </w:p>
    <w:p>
      <w:pPr>
        <w:pStyle w:val="Heading1"/>
        <w:spacing w:after="240" w:before="360"/>
      </w:pPr>
      <w:r>
        <w:rPr>
          <w:b/>
          <w:bCs/>
          <w:color w:val="1A3A5C"/>
          <w:sz w:val="32"/>
          <w:szCs w:val="32"/>
        </w:rPr>
        <w:t xml:space="preserve">C.6 — SPÉCIFICITÉS JURIDIQUES</w:t>
      </w:r>
    </w:p>
    <w:p>
      <w:pPr>
        <w:pStyle w:val="Heading2"/>
        <w:spacing w:after="160" w:before="280"/>
      </w:pPr>
      <w:r>
        <w:rPr>
          <w:b/>
          <w:bCs/>
          <w:color w:val="1A3A5C"/>
          <w:sz w:val="26"/>
          <w:szCs w:val="26"/>
        </w:rPr>
        <w:t xml:space="preserve">C.6.1 Journal Officiel OHADA — Source publique</w:t>
      </w:r>
    </w:p>
    <w:p>
      <w:pPr>
        <w:spacing w:after="120" w:line="300"/>
        <w:jc w:val="both"/>
      </w:pPr>
      <w:r>
        <w:rPr>
          <w:sz w:val="22"/>
          <w:szCs w:val="22"/>
        </w:rPr>
        <w:t xml:space="preserve">NormX Legal s'appuie sur les textes publiés au Journal Officiel OHADA et les Actes uniformes adoptés par le Conseil des Ministres de l'OHADA. Ces textes sont des sources publiques librement accessibles. NORMX AI ne revendique aucun droit de propriété intellectuelle sur ces textes officiels, dont la valeur normative et juridique appartient exclusivement à l'OHADA et aux États Parties.</w:t>
      </w:r>
    </w:p>
    <w:p>
      <w:pPr>
        <w:pStyle w:val="Heading2"/>
        <w:spacing w:after="160" w:before="280"/>
      </w:pPr>
      <w:r>
        <w:rPr>
          <w:b/>
          <w:bCs/>
          <w:color w:val="1A3A5C"/>
          <w:sz w:val="26"/>
          <w:szCs w:val="26"/>
        </w:rPr>
        <w:t xml:space="preserve">C.6.2 Validation obligatoire des actes générés</w:t>
      </w:r>
    </w:p>
    <w:p>
      <w:pPr>
        <w:pBdr>
          <w:top w:val="single" w:color="D4A843" w:sz="4" w:space="4"/>
          <w:bottom w:val="single" w:color="D4A843" w:sz="4" w:space="4"/>
          <w:left w:val="single" w:color="D4A843" w:sz="24" w:space="8"/>
          <w:right w:val="single" w:color="D4A843" w:sz="4" w:space="4"/>
        </w:pBdr>
        <w:shd w:fill="FFF8E1" w:val="clear"/>
        <w:spacing w:after="160" w:before="160"/>
        <w:jc w:val="both"/>
      </w:pPr>
      <w:r>
        <w:rPr>
          <w:b/>
          <w:bCs/>
          <w:sz w:val="22"/>
          <w:szCs w:val="22"/>
        </w:rPr>
        <w:t xml:space="preserve">Les actes juridiques générés par NormX Legal (statuts, PV, cessions, conventions) constituent des modèles et projets de documents qui DOIVENT impérativement être relus, adaptés et validés par un professionnel du droit qualifié (avocat, notaire, juriste d'entreprise, expert-comptable dans son périmètre) avant toute signature, enregistrement ou publication. NORMX AI ne saurait en aucun cas être tenue responsable des conséquences juridiques, fiscales, sociales ou patrimoniales résultant de l'usage d'un acte généré sans validation professionnelle.</w:t>
      </w:r>
    </w:p>
    <w:p>
      <w:pPr>
        <w:pStyle w:val="Heading2"/>
        <w:spacing w:after="160" w:before="280"/>
      </w:pPr>
      <w:r>
        <w:rPr>
          <w:b/>
          <w:bCs/>
          <w:color w:val="1A3A5C"/>
          <w:sz w:val="26"/>
          <w:szCs w:val="26"/>
        </w:rPr>
        <w:t xml:space="preserve">C.6.3 Secret professionnel des avocats</w:t>
      </w:r>
    </w:p>
    <w:p>
      <w:pPr>
        <w:spacing w:after="120" w:line="300"/>
        <w:jc w:val="both"/>
      </w:pPr>
      <w:r>
        <w:rPr>
          <w:sz w:val="22"/>
          <w:szCs w:val="22"/>
        </w:rPr>
        <w:t xml:space="preserve">Lorsque NormX Legal est utilisé par un avocat dans le cadre de son activité professionnelle, l'avocat demeure seul garant du respect de ses obligations déontologiques et, en particulier, du secret professionnel auquel il est astreint en application de l'article 66-5 de la loi n° 71-1130 du 31 décembre 1971 et des règles équivalentes dans les juridictions OHADA. L'avocat s'engage à ne soumettre aux agents IA que des informations dont le traitement par un sous-traitant technique est compatible avec ses obligations déontologiques, et à mettre en place les mesures de pseudonymisation nécessaires. NORMX AI ne saurait être tenue responsable d'un manquement de l'avocat à ses règles déontologiques.</w:t>
      </w:r>
    </w:p>
    <w:p>
      <w:pPr>
        <w:pStyle w:val="Heading2"/>
        <w:spacing w:after="160" w:before="280"/>
      </w:pPr>
      <w:r>
        <w:rPr>
          <w:b/>
          <w:bCs/>
          <w:color w:val="1A3A5C"/>
          <w:sz w:val="26"/>
          <w:szCs w:val="26"/>
        </w:rPr>
        <w:t xml:space="preserve">C.6.4 Accord de Traitement des Données</w:t>
      </w:r>
    </w:p>
    <w:p>
      <w:pPr>
        <w:spacing w:after="120" w:line="300"/>
        <w:jc w:val="both"/>
      </w:pPr>
      <w:r>
        <w:rPr>
          <w:sz w:val="22"/>
          <w:szCs w:val="22"/>
        </w:rPr>
        <w:t xml:space="preserve">Comme pour NormX Finance, l'utilisation de NormX Legal par un Professionnel pour traiter des données relatives à ses propres clients ou tiers nécessite la conclusion d'un Accord de Traitement des Données (DPA) distinct, conformément à l'article 28 du RGPD.</w:t>
      </w:r>
    </w:p>
    <w:p>
      <w:pPr>
        <w:pStyle w:val="Heading2"/>
        <w:spacing w:after="160" w:before="280"/>
      </w:pPr>
      <w:r>
        <w:rPr>
          <w:b/>
          <w:bCs/>
          <w:color w:val="1A3A5C"/>
          <w:sz w:val="26"/>
          <w:szCs w:val="26"/>
        </w:rPr>
        <w:t xml:space="preserve">C.6.5 Absence de conseil juridique personnalisé</w:t>
      </w:r>
    </w:p>
    <w:p>
      <w:pPr>
        <w:spacing w:after="120" w:line="300"/>
        <w:jc w:val="both"/>
      </w:pPr>
      <w:r>
        <w:rPr>
          <w:sz w:val="22"/>
          <w:szCs w:val="22"/>
        </w:rPr>
        <w:t xml:space="preserve">NormX Legal est un outil d'aide documentaire et de génération d'actes. Il ne constitue en aucun cas un service de conseil juridique personnalisé au sens des articles 54 et suivants de la loi du 31 décembre 1971 ou de la réglementation équivalente dans les États OHADA. Le Client reconnaît qu'aucune relation avocat-client n'est créée par l'usage du Service et qu'il demeure libre et responsable de consulter un professionnel qualifié pour toute question spécifique à sa situation.</w:t>
      </w:r>
    </w:p>
    <w:p>
      <w:r>
        <w:br w:type="page"/>
      </w:r>
    </w:p>
    <w:p>
      <w:pPr>
        <w:spacing w:after="120" w:before="240"/>
        <w:jc w:val="center"/>
      </w:pPr>
      <w:r>
        <w:rPr>
          <w:b/>
          <w:bCs/>
          <w:color w:val="1A3A5C"/>
          <w:sz w:val="36"/>
          <w:szCs w:val="36"/>
        </w:rPr>
        <w:t xml:space="preserve">ANNEXE D</w:t>
      </w:r>
    </w:p>
    <w:p>
      <w:pPr>
        <w:spacing w:after="360"/>
        <w:jc w:val="center"/>
      </w:pPr>
      <w:r>
        <w:rPr>
          <w:b/>
          <w:bCs/>
          <w:color w:val="D4A843"/>
          <w:sz w:val="28"/>
          <w:szCs w:val="28"/>
        </w:rPr>
        <w:t xml:space="preserve">Formulaire de rétractation</w:t>
      </w:r>
    </w:p>
    <w:p>
      <w:pPr>
        <w:spacing w:after="120" w:line="300"/>
        <w:jc w:val="both"/>
      </w:pPr>
      <w:r>
        <w:rPr>
          <w:sz w:val="22"/>
          <w:szCs w:val="22"/>
        </w:rPr>
        <w:t xml:space="preserve">(À compléter et à renvoyer uniquement si vous souhaitez vous rétracter du contrat — ne s'applique pas si vous avez expressément renoncé à votre droit de rétractation lors de la souscription)</w:t>
      </w:r>
    </w:p>
    <w:p>
      <w:pPr>
        <w:spacing w:after="120" w:line="300"/>
        <w:jc w:val="both"/>
      </w:pPr>
      <w:r>
        <w:rPr>
          <w:sz w:val="22"/>
          <w:szCs w:val="22"/>
        </w:rPr>
        <w:t xml:space="preserve"/>
      </w:r>
    </w:p>
    <w:p>
      <w:pPr>
        <w:spacing w:after="120" w:line="300"/>
        <w:jc w:val="both"/>
      </w:pPr>
      <w:r>
        <w:rPr>
          <w:sz w:val="22"/>
          <w:szCs w:val="22"/>
        </w:rPr>
        <w:t xml:space="preserve">À l'attention de NORMX AI, 71 rue Daire, 80000 Amiens — reclamation@normx-ai.com</w:t>
      </w:r>
    </w:p>
    <w:p>
      <w:pPr>
        <w:spacing w:after="120" w:line="300"/>
        <w:jc w:val="both"/>
      </w:pPr>
      <w:r>
        <w:rPr>
          <w:sz w:val="22"/>
          <w:szCs w:val="22"/>
        </w:rPr>
        <w:t xml:space="preserve"/>
      </w:r>
    </w:p>
    <w:p>
      <w:pPr>
        <w:spacing w:after="120" w:line="300"/>
        <w:jc w:val="both"/>
      </w:pPr>
      <w:r>
        <w:rPr>
          <w:sz w:val="22"/>
          <w:szCs w:val="22"/>
        </w:rPr>
        <w:t xml:space="preserve">Je vous notifie par la présente ma rétractation du contrat portant sur la prestation de services ci-dessous :</w:t>
      </w:r>
    </w:p>
    <w:p>
      <w:pPr>
        <w:spacing w:after="120" w:line="300"/>
        <w:jc w:val="both"/>
      </w:pPr>
      <w:r>
        <w:rPr>
          <w:sz w:val="22"/>
          <w:szCs w:val="22"/>
        </w:rPr>
        <w:t xml:space="preserve"/>
      </w:r>
    </w:p>
    <w:p>
      <w:pPr>
        <w:spacing w:after="120" w:line="300"/>
        <w:jc w:val="both"/>
      </w:pPr>
      <w:r>
        <w:rPr>
          <w:sz w:val="22"/>
          <w:szCs w:val="22"/>
        </w:rPr>
        <w:t xml:space="preserve">Service concerné (cocher) : ☐ NormX Tax  ☐ NormX Finance  ☐ NormX Legal</w:t>
      </w:r>
    </w:p>
    <w:p>
      <w:pPr>
        <w:spacing w:after="120" w:line="300"/>
        <w:jc w:val="both"/>
      </w:pPr>
      <w:r>
        <w:rPr>
          <w:sz w:val="22"/>
          <w:szCs w:val="22"/>
        </w:rPr>
        <w:t xml:space="preserve"/>
      </w:r>
    </w:p>
    <w:p>
      <w:pPr>
        <w:spacing w:after="120" w:line="300"/>
        <w:jc w:val="both"/>
      </w:pPr>
      <w:r>
        <w:rPr>
          <w:sz w:val="22"/>
          <w:szCs w:val="22"/>
        </w:rPr>
        <w:t xml:space="preserve">Référence de la commande : ________________________________</w:t>
      </w:r>
    </w:p>
    <w:p>
      <w:pPr>
        <w:spacing w:after="120" w:line="300"/>
        <w:jc w:val="both"/>
      </w:pPr>
      <w:r>
        <w:rPr>
          <w:sz w:val="22"/>
          <w:szCs w:val="22"/>
        </w:rPr>
        <w:t xml:space="preserve">Commandé le : ___________________</w:t>
      </w:r>
    </w:p>
    <w:p>
      <w:pPr>
        <w:spacing w:after="120" w:line="300"/>
        <w:jc w:val="both"/>
      </w:pPr>
      <w:r>
        <w:rPr>
          <w:sz w:val="22"/>
          <w:szCs w:val="22"/>
        </w:rPr>
        <w:t xml:space="preserve">Nom du Consommateur : ________________________________</w:t>
      </w:r>
    </w:p>
    <w:p>
      <w:pPr>
        <w:spacing w:after="120" w:line="300"/>
        <w:jc w:val="both"/>
      </w:pPr>
      <w:r>
        <w:rPr>
          <w:sz w:val="22"/>
          <w:szCs w:val="22"/>
        </w:rPr>
        <w:t xml:space="preserve">Adresse du Consommateur : ________________________________</w:t>
      </w:r>
    </w:p>
    <w:p>
      <w:pPr>
        <w:spacing w:after="120" w:line="300"/>
        <w:jc w:val="both"/>
      </w:pPr>
      <w:r>
        <w:rPr>
          <w:sz w:val="22"/>
          <w:szCs w:val="22"/>
        </w:rPr>
        <w:t xml:space="preserve"/>
      </w:r>
    </w:p>
    <w:p>
      <w:pPr>
        <w:spacing w:after="120" w:line="300"/>
        <w:jc w:val="both"/>
      </w:pPr>
      <w:r>
        <w:rPr>
          <w:sz w:val="22"/>
          <w:szCs w:val="22"/>
        </w:rPr>
        <w:t xml:space="preserve">Date : ___________________</w:t>
      </w:r>
    </w:p>
    <w:p>
      <w:pPr>
        <w:spacing w:after="120" w:line="300"/>
        <w:jc w:val="both"/>
      </w:pPr>
      <w:r>
        <w:rPr>
          <w:sz w:val="22"/>
          <w:szCs w:val="22"/>
        </w:rPr>
        <w:t xml:space="preserve">Signature : 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NORMX AI SAS — SIREN 103 831 921 — RCS Amiens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NORMX AI — CGV Suite NormX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3A5C"/>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CGV NORMX AI — Suite NormX</dc:title>
  <dc:creator>NORMX AI</dc:creator>
  <dc:description>Conditions Générales de Vente de NORMX AI applicables aux Services NormX Tax, NormX Finance et NormX Legal</dc:description>
  <cp:lastModifiedBy>Un-named</cp:lastModifiedBy>
  <cp:revision>1</cp:revision>
  <dcterms:created xsi:type="dcterms:W3CDTF">2026-04-22T13:07:11.009Z</dcterms:created>
  <dcterms:modified xsi:type="dcterms:W3CDTF">2026-04-22T13:07:11.010Z</dcterms:modified>
</cp:coreProperties>
</file>

<file path=docProps/custom.xml><?xml version="1.0" encoding="utf-8"?>
<Properties xmlns="http://schemas.openxmlformats.org/officeDocument/2006/custom-properties" xmlns:vt="http://schemas.openxmlformats.org/officeDocument/2006/docPropsVTypes"/>
</file>