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A3A5C"/>
          <w:sz w:val="40"/>
          <w:szCs w:val="40"/>
        </w:rPr>
        <w:t xml:space="preserve">POLITIQUE DE CONFIDENTIALITÉ</w:t>
      </w:r>
    </w:p>
    <w:p>
      <w:pPr>
        <w:spacing w:after="120"/>
        <w:jc w:val="center"/>
      </w:pPr>
      <w:r>
        <w:rPr>
          <w:b/>
          <w:bCs/>
          <w:color w:val="D4A843"/>
          <w:sz w:val="32"/>
          <w:szCs w:val="32"/>
        </w:rPr>
        <w:t xml:space="preserve">NORMX AI</w:t>
      </w:r>
    </w:p>
    <w:p>
      <w:pPr>
        <w:spacing w:after="240"/>
        <w:jc w:val="center"/>
      </w:pPr>
      <w:r>
        <w:rPr>
          <w:i/>
          <w:iCs/>
          <w:sz w:val="22"/>
          <w:szCs w:val="22"/>
        </w:rPr>
        <w:t xml:space="preserve">Applicable aux Services NormX Tax, NormX Finance et NormX Legal</w:t>
      </w:r>
    </w:p>
    <w:p>
      <w:pPr>
        <w:spacing w:after="480"/>
        <w:jc w:val="center"/>
      </w:pPr>
      <w:r>
        <w:rPr>
          <w:i/>
          <w:iCs/>
          <w:sz w:val="20"/>
          <w:szCs w:val="20"/>
        </w:rPr>
        <w:t xml:space="preserve">Version 1.1 — En vigueur au 22 avril 2026</w:t>
      </w:r>
    </w:p>
    <w:p>
      <w:pPr>
        <w:pStyle w:val="Heading1"/>
        <w:spacing w:after="240" w:before="360"/>
      </w:pPr>
      <w:r>
        <w:rPr>
          <w:b/>
          <w:bCs/>
          <w:color w:val="1A3A5C"/>
          <w:sz w:val="32"/>
          <w:szCs w:val="32"/>
        </w:rPr>
        <w:t xml:space="preserve">PRÉAMBULE</w:t>
      </w:r>
    </w:p>
    <w:p>
      <w:pPr>
        <w:spacing w:after="120" w:line="300"/>
        <w:jc w:val="both"/>
      </w:pPr>
      <w:r>
        <w:rPr>
          <w:sz w:val="22"/>
          <w:szCs w:val="22"/>
        </w:rPr>
        <w:t xml:space="preserve">NORMX AI s'engage à protéger la vie privée des utilisateurs de ses Services et à traiter leurs données personnelles dans le respect du Règlement (UE) 2016/679 (« RGPD ») et de la loi française n° 78-17 du 6 janvier 1978 modifiée.</w:t>
      </w:r>
    </w:p>
    <w:p>
      <w:pPr>
        <w:spacing w:after="120" w:line="300"/>
        <w:jc w:val="both"/>
      </w:pPr>
      <w:r>
        <w:rPr>
          <w:sz w:val="22"/>
          <w:szCs w:val="22"/>
        </w:rPr>
        <w:t xml:space="preserve">La présente Politique s'applique à l'ensemble des Services édités par NORMX AI : NormX Tax (tax.normx-ai.com), NormX Finance (app.normx-ai.com) et NormX Legal (legal.normx-ai.com). Elle est accessible depuis chacun de ces Services.</w:t>
      </w:r>
    </w:p>
    <w:p>
      <w:pPr>
        <w:pStyle w:val="Heading1"/>
        <w:spacing w:after="240" w:before="360"/>
      </w:pPr>
      <w:r>
        <w:rPr>
          <w:b/>
          <w:bCs/>
          <w:color w:val="1A3A5C"/>
          <w:sz w:val="32"/>
          <w:szCs w:val="32"/>
        </w:rPr>
        <w:t xml:space="preserve">ARTICLE 1 — RESPONSABLE DU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Dénomination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NORMX AI</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Forme juridique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SAS au capital de 1 000 €</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Siège social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71 rue Daire, 80000 Amiens, France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SIREN / RCS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103 831 921 — RCS Amiens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Représentée par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Madame Cécile MBOUITY ép. MAKOSSO, Présidente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Contact général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contact@normx-ai.com</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ARTICLE 2 — DÉLÉGUÉE À LA PROTECTION DES DONNÉES (DPO)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Nom</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Madame Christelle POATY-KAMBISSI</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Email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dpo@normx-ai.com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Adresse postale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NORMX AI — DPO, 71 rue Daire, 80000 Amiens</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ARTICLE 3 — DONNÉES COLLECTÉES</w:t>
      </w:r>
    </w:p>
    <w:p>
      <w:pPr>
        <w:spacing w:after="120" w:line="300"/>
        <w:jc w:val="both"/>
      </w:pPr>
      <w:r>
        <w:rPr>
          <w:sz w:val="22"/>
          <w:szCs w:val="22"/>
        </w:rPr>
        <w:t xml:space="preserve">NORMX AI collecte différentes catégories de données selon le Service utilisé :</w:t>
      </w:r>
    </w:p>
    <w:p>
      <w:pPr>
        <w:pStyle w:val="Heading2"/>
        <w:spacing w:after="160" w:before="280"/>
      </w:pPr>
      <w:r>
        <w:rPr>
          <w:b/>
          <w:bCs/>
          <w:color w:val="1A3A5C"/>
          <w:sz w:val="26"/>
          <w:szCs w:val="26"/>
        </w:rPr>
        <w:t xml:space="preserve">3.1 Données communes à tous les Services</w:t>
      </w:r>
    </w:p>
    <w:p>
      <w:pPr>
        <w:pStyle w:val="ListParagraph"/>
        <w:numPr>
          <w:ilvl w:val="0"/>
          <w:numId w:val="2"/>
        </w:numPr>
        <w:spacing w:after="80" w:line="280"/>
      </w:pPr>
      <w:r>
        <w:rPr>
          <w:sz w:val="22"/>
          <w:szCs w:val="22"/>
        </w:rPr>
        <w:t xml:space="preserve">Données d'identification et de compte : nom, prénom, email, téléphone, profession</w:t>
      </w:r>
    </w:p>
    <w:p>
      <w:pPr>
        <w:pStyle w:val="ListParagraph"/>
        <w:numPr>
          <w:ilvl w:val="0"/>
          <w:numId w:val="2"/>
        </w:numPr>
        <w:spacing w:after="80" w:line="280"/>
      </w:pPr>
      <w:r>
        <w:rPr>
          <w:sz w:val="22"/>
          <w:szCs w:val="22"/>
        </w:rPr>
        <w:t xml:space="preserve">Données de facturation : adresse, SIREN/SIRET, numéro TVA intracommunautaire</w:t>
      </w:r>
    </w:p>
    <w:p>
      <w:pPr>
        <w:pStyle w:val="ListParagraph"/>
        <w:numPr>
          <w:ilvl w:val="0"/>
          <w:numId w:val="2"/>
        </w:numPr>
        <w:spacing w:after="80" w:line="280"/>
      </w:pPr>
      <w:r>
        <w:rPr>
          <w:sz w:val="22"/>
          <w:szCs w:val="22"/>
        </w:rPr>
        <w:t xml:space="preserve">Données de connexion : adresse IP, navigateur, OS, horodatage des sessions</w:t>
      </w:r>
    </w:p>
    <w:p>
      <w:pPr>
        <w:pStyle w:val="ListParagraph"/>
        <w:numPr>
          <w:ilvl w:val="0"/>
          <w:numId w:val="2"/>
        </w:numPr>
        <w:spacing w:after="80" w:line="280"/>
      </w:pPr>
      <w:r>
        <w:rPr>
          <w:sz w:val="22"/>
          <w:szCs w:val="22"/>
        </w:rPr>
        <w:t xml:space="preserve">Données de communication : échanges avec le support, feedbacks, enquêtes</w:t>
      </w:r>
    </w:p>
    <w:p>
      <w:pPr>
        <w:pStyle w:val="Heading2"/>
        <w:spacing w:after="160" w:before="280"/>
      </w:pPr>
      <w:r>
        <w:rPr>
          <w:b/>
          <w:bCs/>
          <w:color w:val="1A3A5C"/>
          <w:sz w:val="26"/>
          <w:szCs w:val="26"/>
        </w:rPr>
        <w:t xml:space="preserve">3.2 Données spécifiques à NormX Tax</w:t>
      </w:r>
    </w:p>
    <w:p>
      <w:pPr>
        <w:pStyle w:val="ListParagraph"/>
        <w:numPr>
          <w:ilvl w:val="0"/>
          <w:numId w:val="2"/>
        </w:numPr>
        <w:spacing w:after="80" w:line="280"/>
      </w:pPr>
      <w:r>
        <w:rPr>
          <w:sz w:val="22"/>
          <w:szCs w:val="22"/>
        </w:rPr>
        <w:t xml:space="preserve">Requêtes fiscales soumises aux agents IA</w:t>
      </w:r>
    </w:p>
    <w:p>
      <w:pPr>
        <w:pStyle w:val="ListParagraph"/>
        <w:numPr>
          <w:ilvl w:val="0"/>
          <w:numId w:val="2"/>
        </w:numPr>
        <w:spacing w:after="80" w:line="280"/>
      </w:pPr>
      <w:r>
        <w:rPr>
          <w:sz w:val="22"/>
          <w:szCs w:val="22"/>
        </w:rPr>
        <w:t xml:space="preserve">Simulations de calcul effectuées</w:t>
      </w:r>
    </w:p>
    <w:p>
      <w:pPr>
        <w:pStyle w:val="ListParagraph"/>
        <w:numPr>
          <w:ilvl w:val="0"/>
          <w:numId w:val="2"/>
        </w:numPr>
        <w:spacing w:after="80" w:line="280"/>
      </w:pPr>
      <w:r>
        <w:rPr>
          <w:sz w:val="22"/>
          <w:szCs w:val="22"/>
        </w:rPr>
        <w:t xml:space="preserve">Documents exportés (notes, rapports fiscaux)</w:t>
      </w:r>
    </w:p>
    <w:p>
      <w:pPr>
        <w:pStyle w:val="Heading2"/>
        <w:spacing w:after="160" w:before="280"/>
      </w:pPr>
      <w:r>
        <w:rPr>
          <w:b/>
          <w:bCs/>
          <w:color w:val="1A3A5C"/>
          <w:sz w:val="26"/>
          <w:szCs w:val="26"/>
        </w:rPr>
        <w:t xml:space="preserve">3.3 Données spécifiques à NormX Finance</w:t>
      </w:r>
    </w:p>
    <w:p>
      <w:pPr>
        <w:pStyle w:val="ListParagraph"/>
        <w:numPr>
          <w:ilvl w:val="0"/>
          <w:numId w:val="2"/>
        </w:numPr>
        <w:spacing w:after="80" w:line="280"/>
      </w:pPr>
      <w:r>
        <w:rPr>
          <w:sz w:val="22"/>
          <w:szCs w:val="22"/>
        </w:rPr>
        <w:t xml:space="preserve">Données comptables et financières saisies par le Client (selon les référentiels SYSCOHADA ou SYCEBNL)</w:t>
      </w:r>
    </w:p>
    <w:p>
      <w:pPr>
        <w:pStyle w:val="ListParagraph"/>
        <w:numPr>
          <w:ilvl w:val="0"/>
          <w:numId w:val="2"/>
        </w:numPr>
        <w:spacing w:after="80" w:line="280"/>
      </w:pPr>
      <w:r>
        <w:rPr>
          <w:sz w:val="22"/>
          <w:szCs w:val="22"/>
        </w:rPr>
        <w:t xml:space="preserve">Données de paie (bulletins, cotisations, RIB de salariés)</w:t>
      </w:r>
    </w:p>
    <w:p>
      <w:pPr>
        <w:pStyle w:val="ListParagraph"/>
        <w:numPr>
          <w:ilvl w:val="0"/>
          <w:numId w:val="2"/>
        </w:numPr>
        <w:spacing w:after="80" w:line="280"/>
      </w:pPr>
      <w:r>
        <w:rPr>
          <w:sz w:val="22"/>
          <w:szCs w:val="22"/>
        </w:rPr>
        <w:t xml:space="preserve">États financiers SYSCOHADA ou SYCEBNL produits</w:t>
      </w:r>
    </w:p>
    <w:p>
      <w:pPr>
        <w:pStyle w:val="ListParagraph"/>
        <w:numPr>
          <w:ilvl w:val="0"/>
          <w:numId w:val="2"/>
        </w:numPr>
        <w:spacing w:after="80" w:line="280"/>
      </w:pPr>
      <w:r>
        <w:rPr>
          <w:sz w:val="22"/>
          <w:szCs w:val="22"/>
        </w:rPr>
        <w:t xml:space="preserve">Données du registre des donateurs pour les entités à but non lucratif (article 17 SYCEBNL) : noms, adresses, montants et objets des dons ou legs reçus</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L'utilisation de NormX Finance par un Professionnel pour traiter des données relatives à ses propres clients, salariés, adhérents ou donateurs nécessite la conclusion préalable d'un Accord de Traitement des Données (DPA). Dans ce cas, NORMX AI agit en qualité de sous-traitant au sens de l'article 28 du RGPD.</w:t>
      </w:r>
    </w:p>
    <w:p>
      <w:pPr>
        <w:pStyle w:val="Heading2"/>
        <w:spacing w:after="160" w:before="280"/>
      </w:pPr>
      <w:r>
        <w:rPr>
          <w:b/>
          <w:bCs/>
          <w:color w:val="1A3A5C"/>
          <w:sz w:val="26"/>
          <w:szCs w:val="26"/>
        </w:rPr>
        <w:t xml:space="preserve">3.4 Données spécifiques à NormX Legal</w:t>
      </w:r>
    </w:p>
    <w:p>
      <w:pPr>
        <w:pStyle w:val="ListParagraph"/>
        <w:numPr>
          <w:ilvl w:val="0"/>
          <w:numId w:val="2"/>
        </w:numPr>
        <w:spacing w:after="80" w:line="280"/>
      </w:pPr>
      <w:r>
        <w:rPr>
          <w:sz w:val="22"/>
          <w:szCs w:val="22"/>
        </w:rPr>
        <w:t xml:space="preserve">Requêtes juridiques soumises aux agents IA</w:t>
      </w:r>
    </w:p>
    <w:p>
      <w:pPr>
        <w:pStyle w:val="ListParagraph"/>
        <w:numPr>
          <w:ilvl w:val="0"/>
          <w:numId w:val="2"/>
        </w:numPr>
        <w:spacing w:after="80" w:line="280"/>
      </w:pPr>
      <w:r>
        <w:rPr>
          <w:sz w:val="22"/>
          <w:szCs w:val="22"/>
        </w:rPr>
        <w:t xml:space="preserve">Informations saisies pour la génération d'actes (identités des associés, dirigeants, etc.)</w:t>
      </w:r>
    </w:p>
    <w:p>
      <w:pPr>
        <w:pStyle w:val="ListParagraph"/>
        <w:numPr>
          <w:ilvl w:val="0"/>
          <w:numId w:val="2"/>
        </w:numPr>
        <w:spacing w:after="80" w:line="280"/>
      </w:pPr>
      <w:r>
        <w:rPr>
          <w:sz w:val="22"/>
          <w:szCs w:val="22"/>
        </w:rPr>
        <w:t xml:space="preserve">Actes juridiques générés (statuts, PV, cessions)</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Un DPA est également requis pour l'usage professionnel de NormX Legal. L'attention des avocats est particulièrement attirée sur leurs obligations de secret professionnel (article 66-5 de la loi du 31 décembre 1971) qui doivent être compatibles avec l'usage du Service.</w:t>
      </w:r>
    </w:p>
    <w:p>
      <w:pPr>
        <w:pStyle w:val="Heading2"/>
        <w:spacing w:after="160" w:before="280"/>
      </w:pPr>
      <w:r>
        <w:rPr>
          <w:b/>
          <w:bCs/>
          <w:color w:val="1A3A5C"/>
          <w:sz w:val="26"/>
          <w:szCs w:val="26"/>
        </w:rPr>
        <w:t xml:space="preserve">3.5 Recommandation relative aux données sensibles</w:t>
      </w:r>
    </w:p>
    <w:p>
      <w:pPr>
        <w:spacing w:after="120" w:line="300"/>
        <w:jc w:val="both"/>
      </w:pPr>
      <w:r>
        <w:rPr>
          <w:sz w:val="22"/>
          <w:szCs w:val="22"/>
        </w:rPr>
        <w:t xml:space="preserve">Les Utilisateurs sont invités à ne pas inclure dans leurs requêtes des données personnelles sensibles au sens de l'article 9 du RGPD (données de santé, opinions politiques, orientation sexuelle, origine raciale ou ethnique, données biométriques, etc.) ni des numéros de sécurité sociale en clair, sauf nécessité absolue et base légale appropriée.</w:t>
      </w:r>
    </w:p>
    <w:p>
      <w:pPr>
        <w:pStyle w:val="Heading1"/>
        <w:spacing w:after="240" w:before="360"/>
      </w:pPr>
      <w:r>
        <w:rPr>
          <w:b/>
          <w:bCs/>
          <w:color w:val="1A3A5C"/>
          <w:sz w:val="32"/>
          <w:szCs w:val="32"/>
        </w:rPr>
        <w:t xml:space="preserve">ARTICLE 4 — FINALITÉS ET BASES LÉGALES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Finalité</w:t>
            </w:r>
          </w:p>
        </w:tc>
        <w:tc>
          <w:tcPr>
            <w:tcW w:type="dxa" w:w="234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Base légale</w:t>
            </w:r>
          </w:p>
        </w:tc>
        <w:tc>
          <w:tcPr>
            <w:tcW w:type="dxa" w:w="39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Durée de conservation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Gestion du Compte et des abonnements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Exécution du contrat</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Durée du contrat + 3 ans</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Fourniture des Services (requêtes IA)</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Exécution du contrat</w:t>
            </w:r>
          </w:p>
        </w:tc>
        <w:tc>
          <w:tcPr>
            <w:tcW w:type="dxa" w:w="3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Requêtes : 7 jours (Anthropic) + logs 30 jours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Données comptables (NormX Finance)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Exécution contrat + obligation légale</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10 ans (AUDCIF art. 17 / SYCEBNL / C. com. L.123-22)</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Actes juridiques générés (NormX Legal)</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Exécution du contrat</w:t>
            </w:r>
          </w:p>
        </w:tc>
        <w:tc>
          <w:tcPr>
            <w:tcW w:type="dxa" w:w="3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5 ans après génération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Facturation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Obligation légale</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10 ans</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Sécurité et lutte contre la fraude</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Intérêt légitime</w:t>
            </w:r>
          </w:p>
        </w:tc>
        <w:tc>
          <w:tcPr>
            <w:tcW w:type="dxa" w:w="3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5 ans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Prospection commerciale (clients)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Intérêt légitime + opposition</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3 ans après dernière activité</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Newsletters, prospection prospects</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Consentement</w:t>
            </w:r>
          </w:p>
        </w:tc>
        <w:tc>
          <w:tcPr>
            <w:tcW w:type="dxa" w:w="3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Jusqu'au retrait</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ARTICLE 5 — DESTINATAIRES ET SOUS-TRAITANTS</w:t>
      </w:r>
    </w:p>
    <w:p>
      <w:pPr>
        <w:spacing w:after="120" w:line="300"/>
        <w:jc w:val="both"/>
      </w:pPr>
      <w:r>
        <w:rPr>
          <w:sz w:val="22"/>
          <w:szCs w:val="22"/>
        </w:rPr>
        <w:t xml:space="preserve">NORMX AI fait appel aux sous-traitants suivants, liés par un contrat conforme à l'article 28 du RGPD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Sous-traitant</w:t>
            </w:r>
          </w:p>
        </w:tc>
        <w:tc>
          <w:tcPr>
            <w:tcW w:type="dxa" w:w="2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Finalité</w:t>
            </w:r>
          </w:p>
        </w:tc>
        <w:tc>
          <w:tcPr>
            <w:tcW w:type="dxa" w:w="2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Localisation</w:t>
            </w:r>
          </w:p>
        </w:tc>
        <w:tc>
          <w:tcPr>
            <w:tcW w:type="dxa" w:w="276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Garanties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OVH SAS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Hébergement infrastructure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France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HDS, ISO 27001</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Anthropic PBC</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Moteur IA (modèle Claude)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États-Unis</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EU-US DPF + CCT + DPA — Rétention 7j — Pas d'entraînement</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Stripe Payments Europe Ltd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Paiements carte bancaire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Irlande (UE)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PCI-DSS niveau 1, DSP2</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Lygos</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Paiements Mobile Money</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Congo-Brazzaville</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CCT, agrément BEAC</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Brevo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Emails transactionnels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France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UE, ISO 27001</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Matomo (auto-hébergé)</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Mesure d'audience anonymisée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Serveur NORMX AI (France)</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Exempté consentement CNIL</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ARTICLE 6 — TRAITEMENT PAR INTELLIGENCE ARTIFICIELLE</w:t>
      </w:r>
    </w:p>
    <w:p>
      <w:pPr>
        <w:spacing w:after="120" w:line="300"/>
        <w:jc w:val="both"/>
      </w:pPr>
      <w:r>
        <w:rPr>
          <w:sz w:val="22"/>
          <w:szCs w:val="22"/>
        </w:rPr>
        <w:t xml:space="preserve">Les requêtes soumises aux agents IA de NormX Tax, NormX Finance et NormX Legal sont traitées par le modèle Claude édité par Anthropic PBC :</w:t>
      </w:r>
    </w:p>
    <w:p>
      <w:pPr>
        <w:pStyle w:val="ListParagraph"/>
        <w:numPr>
          <w:ilvl w:val="0"/>
          <w:numId w:val="2"/>
        </w:numPr>
        <w:spacing w:after="80" w:line="280"/>
      </w:pPr>
      <w:r>
        <w:rPr>
          <w:sz w:val="22"/>
          <w:szCs w:val="22"/>
        </w:rPr>
        <w:t xml:space="preserve">Transmission via API sécurisée (TLS 1.2+) depuis les serveurs OVH (France)</w:t>
      </w:r>
    </w:p>
    <w:p>
      <w:pPr>
        <w:pStyle w:val="ListParagraph"/>
        <w:numPr>
          <w:ilvl w:val="0"/>
          <w:numId w:val="2"/>
        </w:numPr>
        <w:spacing w:after="80" w:line="280"/>
      </w:pPr>
      <w:r>
        <w:rPr>
          <w:sz w:val="22"/>
          <w:szCs w:val="22"/>
        </w:rPr>
        <w:t xml:space="preserve">Rétention maximale des logs par Anthropic : 7 jours</w:t>
      </w:r>
    </w:p>
    <w:p>
      <w:pPr>
        <w:pStyle w:val="ListParagraph"/>
        <w:numPr>
          <w:ilvl w:val="0"/>
          <w:numId w:val="2"/>
        </w:numPr>
        <w:spacing w:after="80" w:line="280"/>
      </w:pPr>
      <w:r>
        <w:rPr>
          <w:sz w:val="22"/>
          <w:szCs w:val="22"/>
        </w:rPr>
        <w:t xml:space="preserve">Absence d'utilisation des données pour entraîner le modèle Claude</w:t>
      </w:r>
    </w:p>
    <w:p>
      <w:pPr>
        <w:pStyle w:val="ListParagraph"/>
        <w:numPr>
          <w:ilvl w:val="0"/>
          <w:numId w:val="2"/>
        </w:numPr>
        <w:spacing w:after="80" w:line="280"/>
      </w:pPr>
      <w:r>
        <w:rPr>
          <w:sz w:val="22"/>
          <w:szCs w:val="22"/>
        </w:rPr>
        <w:t xml:space="preserve">Chiffrement au repos (AES-256) et en transit</w:t>
      </w:r>
    </w:p>
    <w:p>
      <w:pPr>
        <w:pStyle w:val="ListParagraph"/>
        <w:numPr>
          <w:ilvl w:val="0"/>
          <w:numId w:val="2"/>
        </w:numPr>
        <w:spacing w:after="80" w:line="280"/>
      </w:pPr>
      <w:r>
        <w:rPr>
          <w:sz w:val="22"/>
          <w:szCs w:val="22"/>
        </w:rPr>
        <w:t xml:space="preserve">DPA et Clauses Contractuelles Types en vigueur entre NORMX AI et Anthropic</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Les Contenus IA générés par les Services ne constituent PAS des décisions automatisées au sens de l'article 22 du RGPD. Ils sont destinés à être validés par un professionnel qualifié. L'Utilisateur conserve pleine autonomie décisionnelle.</w:t>
      </w:r>
    </w:p>
    <w:p>
      <w:pPr>
        <w:pStyle w:val="Heading1"/>
        <w:spacing w:after="240" w:before="360"/>
      </w:pPr>
      <w:r>
        <w:rPr>
          <w:b/>
          <w:bCs/>
          <w:color w:val="1A3A5C"/>
          <w:sz w:val="32"/>
          <w:szCs w:val="32"/>
        </w:rPr>
        <w:t xml:space="preserve">ARTICLE 7 — TRANSFERTS HORS UE</w:t>
      </w:r>
    </w:p>
    <w:p>
      <w:pPr>
        <w:spacing w:after="120" w:line="300"/>
        <w:jc w:val="both"/>
      </w:pPr>
      <w:r>
        <w:rPr>
          <w:sz w:val="22"/>
          <w:szCs w:val="22"/>
        </w:rPr>
        <w:t xml:space="preserve">Deux transferts de données hors Union européenne sont mis en œuvre, encadrés par les garanties appropriées :</w:t>
      </w:r>
    </w:p>
    <w:p>
      <w:pPr>
        <w:pStyle w:val="ListParagraph"/>
        <w:numPr>
          <w:ilvl w:val="0"/>
          <w:numId w:val="2"/>
        </w:numPr>
        <w:spacing w:after="80" w:line="280"/>
      </w:pPr>
      <w:r>
        <w:rPr>
          <w:b/>
          <w:bCs/>
          <w:sz w:val="22"/>
          <w:szCs w:val="22"/>
        </w:rPr>
        <w:t xml:space="preserve">Anthropic PBC (USA) : </w:t>
      </w:r>
      <w:r>
        <w:rPr>
          <w:sz w:val="22"/>
          <w:szCs w:val="22"/>
        </w:rPr>
        <w:t xml:space="preserve">EU-US Data Privacy Framework (décision d'adéquation 10/07/2023) + Clauses Contractuelles Types en fallback. Concerne : requêtes IA des trois Services.</w:t>
      </w:r>
    </w:p>
    <w:p>
      <w:pPr>
        <w:pStyle w:val="ListParagraph"/>
        <w:numPr>
          <w:ilvl w:val="0"/>
          <w:numId w:val="2"/>
        </w:numPr>
        <w:spacing w:after="80" w:line="280"/>
      </w:pPr>
      <w:r>
        <w:rPr>
          <w:b/>
          <w:bCs/>
          <w:sz w:val="22"/>
          <w:szCs w:val="22"/>
        </w:rPr>
        <w:t xml:space="preserve">Lygos (Congo-Brazzaville) : </w:t>
      </w:r>
      <w:r>
        <w:rPr>
          <w:sz w:val="22"/>
          <w:szCs w:val="22"/>
        </w:rPr>
        <w:t xml:space="preserve">Clauses Contractuelles Types (Modules 2 et 3). Concerne : données de paiement Mobile Money.</w:t>
      </w:r>
    </w:p>
    <w:p>
      <w:pPr>
        <w:pStyle w:val="Heading1"/>
        <w:spacing w:after="240" w:before="360"/>
      </w:pPr>
      <w:r>
        <w:rPr>
          <w:b/>
          <w:bCs/>
          <w:color w:val="1A3A5C"/>
          <w:sz w:val="32"/>
          <w:szCs w:val="32"/>
        </w:rPr>
        <w:t xml:space="preserve">ARTICLE 8 — SÉCURITÉ</w:t>
      </w:r>
    </w:p>
    <w:p>
      <w:pPr>
        <w:pStyle w:val="ListParagraph"/>
        <w:numPr>
          <w:ilvl w:val="0"/>
          <w:numId w:val="2"/>
        </w:numPr>
        <w:spacing w:after="80" w:line="280"/>
      </w:pPr>
      <w:r>
        <w:rPr>
          <w:sz w:val="22"/>
          <w:szCs w:val="22"/>
        </w:rPr>
        <w:t xml:space="preserve">Chiffrement TLS 1.3 en transit, AES-256 au repos</w:t>
      </w:r>
    </w:p>
    <w:p>
      <w:pPr>
        <w:pStyle w:val="ListParagraph"/>
        <w:numPr>
          <w:ilvl w:val="0"/>
          <w:numId w:val="2"/>
        </w:numPr>
        <w:spacing w:after="80" w:line="280"/>
      </w:pPr>
      <w:r>
        <w:rPr>
          <w:sz w:val="22"/>
          <w:szCs w:val="22"/>
        </w:rPr>
        <w:t xml:space="preserve">Authentification forte (mots de passe hashés bcrypt, support MFA)</w:t>
      </w:r>
    </w:p>
    <w:p>
      <w:pPr>
        <w:pStyle w:val="ListParagraph"/>
        <w:numPr>
          <w:ilvl w:val="0"/>
          <w:numId w:val="2"/>
        </w:numPr>
        <w:spacing w:after="80" w:line="280"/>
      </w:pPr>
      <w:r>
        <w:rPr>
          <w:sz w:val="22"/>
          <w:szCs w:val="22"/>
        </w:rPr>
        <w:t xml:space="preserve">Sauvegardes chiffrées quotidiennes</w:t>
      </w:r>
    </w:p>
    <w:p>
      <w:pPr>
        <w:pStyle w:val="ListParagraph"/>
        <w:numPr>
          <w:ilvl w:val="0"/>
          <w:numId w:val="2"/>
        </w:numPr>
        <w:spacing w:after="80" w:line="280"/>
      </w:pPr>
      <w:r>
        <w:rPr>
          <w:sz w:val="22"/>
          <w:szCs w:val="22"/>
        </w:rPr>
        <w:t xml:space="preserve">Surveillance continue et détection d'intrusion</w:t>
      </w:r>
    </w:p>
    <w:p>
      <w:pPr>
        <w:pStyle w:val="ListParagraph"/>
        <w:numPr>
          <w:ilvl w:val="0"/>
          <w:numId w:val="2"/>
        </w:numPr>
        <w:spacing w:after="80" w:line="280"/>
      </w:pPr>
      <w:r>
        <w:rPr>
          <w:sz w:val="22"/>
          <w:szCs w:val="22"/>
        </w:rPr>
        <w:t xml:space="preserve">Notification CNIL sous 72h en cas de violation, information des personnes concernées si risque élevé</w:t>
      </w:r>
    </w:p>
    <w:p>
      <w:pPr>
        <w:pStyle w:val="Heading1"/>
        <w:spacing w:after="240" w:before="360"/>
      </w:pPr>
      <w:r>
        <w:rPr>
          <w:b/>
          <w:bCs/>
          <w:color w:val="1A3A5C"/>
          <w:sz w:val="32"/>
          <w:szCs w:val="32"/>
        </w:rPr>
        <w:t xml:space="preserve">ARTICLE 9 — COOKIES</w:t>
      </w:r>
    </w:p>
    <w:p>
      <w:pPr>
        <w:spacing w:after="120" w:line="300"/>
        <w:jc w:val="both"/>
      </w:pPr>
      <w:r>
        <w:rPr>
          <w:sz w:val="22"/>
          <w:szCs w:val="22"/>
        </w:rPr>
        <w:t xml:space="preserve">Les Services utilisent uniquement des cookies strictement nécessaires (session, authentification, sécurité) ainsi que Matomo auto-hébergé configuré en mode anonymisé conformément à la délibération CNIL n° 2020-091. Aucun cookie de publicité ou profilage tiers n'est déposé. Aucun bandeau de consentement n'est requis dans cette configuration.</w:t>
      </w:r>
    </w:p>
    <w:p>
      <w:pPr>
        <w:pStyle w:val="Heading1"/>
        <w:spacing w:after="240" w:before="360"/>
      </w:pPr>
      <w:r>
        <w:rPr>
          <w:b/>
          <w:bCs/>
          <w:color w:val="1A3A5C"/>
          <w:sz w:val="32"/>
          <w:szCs w:val="32"/>
        </w:rPr>
        <w:t xml:space="preserve">ARTICLE 10 — DROITS DES PERSONNES</w:t>
      </w:r>
    </w:p>
    <w:p>
      <w:pPr>
        <w:spacing w:after="120" w:line="300"/>
        <w:jc w:val="both"/>
      </w:pPr>
      <w:r>
        <w:rPr>
          <w:sz w:val="22"/>
          <w:szCs w:val="22"/>
        </w:rPr>
        <w:t xml:space="preserve">Conformément aux articles 15 à 22 du RGPD, vous disposez des droits suivants :</w:t>
      </w:r>
    </w:p>
    <w:p>
      <w:pPr>
        <w:pStyle w:val="ListParagraph"/>
        <w:numPr>
          <w:ilvl w:val="0"/>
          <w:numId w:val="2"/>
        </w:numPr>
        <w:spacing w:after="80" w:line="280"/>
      </w:pPr>
      <w:r>
        <w:rPr>
          <w:sz w:val="22"/>
          <w:szCs w:val="22"/>
        </w:rPr>
        <w:t xml:space="preserve">Droit d'accès à vos données</w:t>
      </w:r>
    </w:p>
    <w:p>
      <w:pPr>
        <w:pStyle w:val="ListParagraph"/>
        <w:numPr>
          <w:ilvl w:val="0"/>
          <w:numId w:val="2"/>
        </w:numPr>
        <w:spacing w:after="80" w:line="280"/>
      </w:pPr>
      <w:r>
        <w:rPr>
          <w:sz w:val="22"/>
          <w:szCs w:val="22"/>
        </w:rPr>
        <w:t xml:space="preserve">Droit de rectification</w:t>
      </w:r>
    </w:p>
    <w:p>
      <w:pPr>
        <w:pStyle w:val="ListParagraph"/>
        <w:numPr>
          <w:ilvl w:val="0"/>
          <w:numId w:val="2"/>
        </w:numPr>
        <w:spacing w:after="80" w:line="280"/>
      </w:pPr>
      <w:r>
        <w:rPr>
          <w:sz w:val="22"/>
          <w:szCs w:val="22"/>
        </w:rPr>
        <w:t xml:space="preserve">Droit à l'effacement (dans les conditions prévues par le RGPD)</w:t>
      </w:r>
    </w:p>
    <w:p>
      <w:pPr>
        <w:pStyle w:val="ListParagraph"/>
        <w:numPr>
          <w:ilvl w:val="0"/>
          <w:numId w:val="2"/>
        </w:numPr>
        <w:spacing w:after="80" w:line="280"/>
      </w:pPr>
      <w:r>
        <w:rPr>
          <w:sz w:val="22"/>
          <w:szCs w:val="22"/>
        </w:rPr>
        <w:t xml:space="preserve">Droit à la limitation du traitement</w:t>
      </w:r>
    </w:p>
    <w:p>
      <w:pPr>
        <w:pStyle w:val="ListParagraph"/>
        <w:numPr>
          <w:ilvl w:val="0"/>
          <w:numId w:val="2"/>
        </w:numPr>
        <w:spacing w:after="80" w:line="280"/>
      </w:pPr>
      <w:r>
        <w:rPr>
          <w:sz w:val="22"/>
          <w:szCs w:val="22"/>
        </w:rPr>
        <w:t xml:space="preserve">Droit à la portabilité</w:t>
      </w:r>
    </w:p>
    <w:p>
      <w:pPr>
        <w:pStyle w:val="ListParagraph"/>
        <w:numPr>
          <w:ilvl w:val="0"/>
          <w:numId w:val="2"/>
        </w:numPr>
        <w:spacing w:after="80" w:line="280"/>
      </w:pPr>
      <w:r>
        <w:rPr>
          <w:sz w:val="22"/>
          <w:szCs w:val="22"/>
        </w:rPr>
        <w:t xml:space="preserve">Droit d'opposition (notamment pour la prospection commerciale, de manière absolue)</w:t>
      </w:r>
    </w:p>
    <w:p>
      <w:pPr>
        <w:pStyle w:val="ListParagraph"/>
        <w:numPr>
          <w:ilvl w:val="0"/>
          <w:numId w:val="2"/>
        </w:numPr>
        <w:spacing w:after="80" w:line="280"/>
      </w:pPr>
      <w:r>
        <w:rPr>
          <w:sz w:val="22"/>
          <w:szCs w:val="22"/>
        </w:rPr>
        <w:t xml:space="preserve">Droit de retrait du consentement</w:t>
      </w:r>
    </w:p>
    <w:p>
      <w:pPr>
        <w:pStyle w:val="ListParagraph"/>
        <w:numPr>
          <w:ilvl w:val="0"/>
          <w:numId w:val="2"/>
        </w:numPr>
        <w:spacing w:after="80" w:line="280"/>
      </w:pPr>
      <w:r>
        <w:rPr>
          <w:sz w:val="22"/>
          <w:szCs w:val="22"/>
        </w:rPr>
        <w:t xml:space="preserve">Droit de définir des directives post-mortem</w:t>
      </w:r>
    </w:p>
    <w:p>
      <w:pPr>
        <w:spacing w:after="120" w:line="300"/>
        <w:jc w:val="both"/>
      </w:pPr>
      <w:r>
        <w:rPr>
          <w:sz w:val="22"/>
          <w:szCs w:val="22"/>
        </w:rPr>
        <w:t xml:space="preserve">Ces droits s'exercent auprès de la DPO : dpo@normx-ai.com, ou par courrier à NORMX AI — DPO, 71 rue Daire, 80000 Amiens. Délai de réponse : 1 mois (prolongeable de 2 mois en cas de complexité).</w:t>
      </w:r>
    </w:p>
    <w:p>
      <w:pPr>
        <w:pStyle w:val="Heading1"/>
        <w:spacing w:after="240" w:before="360"/>
      </w:pPr>
      <w:r>
        <w:rPr>
          <w:b/>
          <w:bCs/>
          <w:color w:val="1A3A5C"/>
          <w:sz w:val="32"/>
          <w:szCs w:val="32"/>
        </w:rPr>
        <w:t xml:space="preserve">ARTICLE 11 — RÉCLAMATION AUPRÈS DE LA CNIL</w:t>
      </w:r>
    </w:p>
    <w:p>
      <w:pPr>
        <w:spacing w:after="120" w:line="300"/>
        <w:jc w:val="both"/>
      </w:pPr>
      <w:r>
        <w:rPr>
          <w:sz w:val="22"/>
          <w:szCs w:val="22"/>
        </w:rPr>
        <w:t xml:space="preserve">Vous pouvez introduire une réclamation auprès de la Commission Nationale de l'Informatique et des Libertés :</w:t>
      </w:r>
    </w:p>
    <w:p>
      <w:pPr>
        <w:pStyle w:val="ListParagraph"/>
        <w:numPr>
          <w:ilvl w:val="0"/>
          <w:numId w:val="2"/>
        </w:numPr>
        <w:spacing w:after="80" w:line="280"/>
      </w:pPr>
      <w:r>
        <w:rPr>
          <w:sz w:val="22"/>
          <w:szCs w:val="22"/>
        </w:rPr>
        <w:t xml:space="preserve">Adresse : 3 place de Fontenoy, TSA 80715, 75334 Paris Cedex 07</w:t>
      </w:r>
    </w:p>
    <w:p>
      <w:pPr>
        <w:pStyle w:val="ListParagraph"/>
        <w:numPr>
          <w:ilvl w:val="0"/>
          <w:numId w:val="2"/>
        </w:numPr>
        <w:spacing w:after="80" w:line="280"/>
      </w:pPr>
      <w:r>
        <w:rPr>
          <w:sz w:val="22"/>
          <w:szCs w:val="22"/>
        </w:rPr>
        <w:t xml:space="preserve">Téléphone : 01 53 73 22 22</w:t>
      </w:r>
    </w:p>
    <w:p>
      <w:pPr>
        <w:pStyle w:val="ListParagraph"/>
        <w:numPr>
          <w:ilvl w:val="0"/>
          <w:numId w:val="2"/>
        </w:numPr>
        <w:spacing w:after="80" w:line="280"/>
      </w:pPr>
      <w:r>
        <w:rPr>
          <w:sz w:val="22"/>
          <w:szCs w:val="22"/>
        </w:rPr>
        <w:t xml:space="preserve">Site web : www.cnil.fr</w:t>
      </w:r>
    </w:p>
    <w:p>
      <w:pPr>
        <w:pStyle w:val="Heading1"/>
        <w:spacing w:after="240" w:before="360"/>
      </w:pPr>
      <w:r>
        <w:rPr>
          <w:b/>
          <w:bCs/>
          <w:color w:val="1A3A5C"/>
          <w:sz w:val="32"/>
          <w:szCs w:val="32"/>
        </w:rPr>
        <w:t xml:space="preserve">ARTICLE 12 — DONNÉES DES MINEURS</w:t>
      </w:r>
    </w:p>
    <w:p>
      <w:pPr>
        <w:spacing w:after="120" w:line="300"/>
        <w:jc w:val="both"/>
      </w:pPr>
      <w:r>
        <w:rPr>
          <w:sz w:val="22"/>
          <w:szCs w:val="22"/>
        </w:rPr>
        <w:t xml:space="preserve">Les Services sont destinés à un public professionnel adulte. NORMX AI ne collecte pas sciemment de données personnelles relatives à des mineurs de moins de 16 ans.</w:t>
      </w:r>
    </w:p>
    <w:p>
      <w:pPr>
        <w:pStyle w:val="Heading1"/>
        <w:spacing w:after="240" w:before="360"/>
      </w:pPr>
      <w:r>
        <w:rPr>
          <w:b/>
          <w:bCs/>
          <w:color w:val="1A3A5C"/>
          <w:sz w:val="32"/>
          <w:szCs w:val="32"/>
        </w:rPr>
        <w:t xml:space="preserve">ARTICLE 13 — PROSPECTION COMMERCIALE</w:t>
      </w:r>
    </w:p>
    <w:p>
      <w:pPr>
        <w:spacing w:after="120" w:line="300"/>
        <w:jc w:val="both"/>
      </w:pPr>
      <w:r>
        <w:rPr>
          <w:sz w:val="22"/>
          <w:szCs w:val="22"/>
        </w:rPr>
        <w:t xml:space="preserve">NORMX AI peut adresser aux Clients existants des informations sur ses Services analogues (intérêt légitime, opposition à tout moment). Pour les prospects, seul le consentement préalable permet l'envoi de communications commerciales. Aucune donnée n'est cédée à des tiers à des fins commerciales.</w:t>
      </w:r>
    </w:p>
    <w:p>
      <w:pPr>
        <w:pStyle w:val="Heading1"/>
        <w:spacing w:after="240" w:before="360"/>
      </w:pPr>
      <w:r>
        <w:rPr>
          <w:b/>
          <w:bCs/>
          <w:color w:val="1A3A5C"/>
          <w:sz w:val="32"/>
          <w:szCs w:val="32"/>
        </w:rPr>
        <w:t xml:space="preserve">ARTICLE 14 — ACCORD DE TRAITEMENT DES DONNÉES (DPA)</w:t>
      </w:r>
    </w:p>
    <w:p>
      <w:pPr>
        <w:spacing w:after="120" w:line="300"/>
        <w:jc w:val="both"/>
      </w:pPr>
      <w:r>
        <w:rPr>
          <w:sz w:val="22"/>
          <w:szCs w:val="22"/>
        </w:rPr>
        <w:t xml:space="preserve">Lorsqu'un Client Professionnel utilise les Services pour traiter des données de ses propres clients ou collaborateurs (typiquement avec NormX Finance pour la paie et la comptabilité, ou NormX Legal pour la rédaction d'actes), un Accord de Traitement des Données est conclu entre le Client (responsable de traitement) et NORMX AI (sous-traitant), conformément à l'article 28 du RGPD. Ce DPA précise les obligations, les mesures de sécurité, la liste des sous-traitants ultérieurs autorisés et les modalités de restitution/destruction des données en fin de contrat. Il est disponible sur demande à dpo@normx-ai.com.</w:t>
      </w:r>
    </w:p>
    <w:p>
      <w:pPr>
        <w:pStyle w:val="Heading1"/>
        <w:spacing w:after="240" w:before="360"/>
      </w:pPr>
      <w:r>
        <w:rPr>
          <w:b/>
          <w:bCs/>
          <w:color w:val="1A3A5C"/>
          <w:sz w:val="32"/>
          <w:szCs w:val="32"/>
        </w:rPr>
        <w:t xml:space="preserve">ARTICLE 15 — MODIFICATIONS</w:t>
      </w:r>
    </w:p>
    <w:p>
      <w:pPr>
        <w:spacing w:after="120" w:line="300"/>
        <w:jc w:val="both"/>
      </w:pPr>
      <w:r>
        <w:rPr>
          <w:sz w:val="22"/>
          <w:szCs w:val="22"/>
        </w:rPr>
        <w:t xml:space="preserve">La présente Politique peut être modifiée à tout moment. Les modifications substantielles font l'objet d'une information préalable par email aux Utilisateurs au moins 30 jours avant leur entrée en vigueur.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NORMX AI SAS — SIREN 103 831 921 — RCS Amiens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NORMX AI — Politique de Confidentialité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3A5C"/>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Confidentialité NORMX AI</dc:title>
  <dc:creator>NORMX AI</dc:creator>
  <cp:lastModifiedBy>Un-named</cp:lastModifiedBy>
  <cp:revision>1</cp:revision>
  <dcterms:created xsi:type="dcterms:W3CDTF">2026-04-22T13:18:46.607Z</dcterms:created>
  <dcterms:modified xsi:type="dcterms:W3CDTF">2026-04-22T13:18:46.608Z</dcterms:modified>
</cp:coreProperties>
</file>

<file path=docProps/custom.xml><?xml version="1.0" encoding="utf-8"?>
<Properties xmlns="http://schemas.openxmlformats.org/officeDocument/2006/custom-properties" xmlns:vt="http://schemas.openxmlformats.org/officeDocument/2006/docPropsVTypes"/>
</file>