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A3A5C"/>
          <w:sz w:val="36"/>
          <w:szCs w:val="36"/>
        </w:rPr>
        <w:t xml:space="preserve">TRANSFER IMPACT ASSESSMENT (TIA)</w:t>
      </w:r>
    </w:p>
    <w:p>
      <w:pPr>
        <w:spacing w:after="100"/>
        <w:jc w:val="center"/>
      </w:pPr>
      <w:r>
        <w:rPr>
          <w:i/>
          <w:iCs/>
          <w:sz w:val="24"/>
          <w:szCs w:val="24"/>
        </w:rPr>
        <w:t xml:space="preserve">Évaluation d'impact des transferts de données vers les États-Unis</w:t>
      </w:r>
    </w:p>
    <w:p>
      <w:pPr>
        <w:spacing w:after="80"/>
        <w:jc w:val="center"/>
      </w:pPr>
      <w:r>
        <w:rPr>
          <w:b/>
          <w:bCs/>
          <w:color w:val="D4A843"/>
          <w:sz w:val="26"/>
          <w:szCs w:val="26"/>
        </w:rPr>
        <w:t xml:space="preserve">Sous-traitant concerné : ANTHROPIC PBC</w:t>
      </w:r>
    </w:p>
    <w:p>
      <w:pPr>
        <w:spacing w:after="360"/>
        <w:jc w:val="center"/>
      </w:pPr>
      <w:r>
        <w:rPr>
          <w:i/>
          <w:iCs/>
          <w:sz w:val="18"/>
          <w:szCs w:val="18"/>
        </w:rPr>
        <w:t xml:space="preserve">Document interne — confidentiel — à conserver pour audit CNIL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Responsable de traitement</w:t>
            </w:r>
          </w:p>
        </w:tc>
        <w:tc>
          <w:tcPr>
            <w:tcW w:type="dxa" w:w="62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NORMX AI SAS — SIREN 103 831 921</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DPO</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Christelle POATY-KAMBISSI — dpo@normx-ai.com</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Date d'évaluation</w:t>
            </w:r>
          </w:p>
        </w:tc>
        <w:tc>
          <w:tcPr>
            <w:tcW w:type="dxa" w:w="62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26 avril 2026</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Version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1.0</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Prochaine révision</w:t>
            </w:r>
          </w:p>
        </w:tc>
        <w:tc>
          <w:tcPr>
            <w:tcW w:type="dxa" w:w="62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26 avril 2027 (annuelle) ou avant en cas d'évolution réglementaire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Référentiel méthodologique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Recommandations 01/2020 du Comité Européen de la Protection des Données (CEPD)</w:t>
            </w:r>
          </w:p>
        </w:tc>
      </w:tr>
    </w:tbl>
    <w:p>
      <w:pPr>
        <w:spacing w:after="120" w:line="300"/>
        <w:jc w:val="both"/>
      </w:pPr>
      <w:r>
        <w:rPr>
          <w:sz w:val="22"/>
          <w:szCs w:val="22"/>
        </w:rPr>
        <w:t xml:space="preserve"/>
      </w:r>
    </w:p>
    <w:p>
      <w:pPr>
        <w:pStyle w:val="Heading1"/>
        <w:spacing w:after="240" w:before="360"/>
      </w:pPr>
      <w:r>
        <w:rPr>
          <w:b/>
          <w:bCs/>
          <w:color w:val="1A3A5C"/>
          <w:sz w:val="30"/>
          <w:szCs w:val="30"/>
        </w:rPr>
        <w:t xml:space="preserve">ÉTAPE 1 — Cartographie du transfert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Exportateur de données</w:t>
            </w:r>
          </w:p>
        </w:tc>
        <w:tc>
          <w:tcPr>
            <w:tcW w:type="dxa" w:w="62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NORMX AI SAS, France (UE)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Importateur de données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Anthropic PBC, San Francisco, États-Unis</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Pays de destination</w:t>
            </w:r>
          </w:p>
        </w:tc>
        <w:tc>
          <w:tcPr>
            <w:tcW w:type="dxa" w:w="62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États-Unis d'Amérique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Finalité du transfert</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Traitement des requêtes des utilisateurs par le modèle d'IA Claude (services NormX Tax, NormX Finance, NormX Legal)</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Catégories de données transférées</w:t>
            </w:r>
          </w:p>
        </w:tc>
        <w:tc>
          <w:tcPr>
            <w:tcW w:type="dxa" w:w="62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Texte des requêtes utilisateurs ; éventuels documents joints ; identifiant de session technique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Personnes concernées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Utilisateurs des Services (professionnels et consommateurs) ; tiers mentionnés dans les requêtes</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Données sensibles (art. 9 RGPD)</w:t>
            </w:r>
          </w:p>
        </w:tc>
        <w:tc>
          <w:tcPr>
            <w:tcW w:type="dxa" w:w="624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tcPr>
          <w:p>
            <w:pPr>
              <w:jc w:val="left"/>
            </w:pPr>
            <w:r>
              <w:rPr>
                <w:color w:val="2E7D32"/>
                <w:sz w:val="20"/>
                <w:szCs w:val="20"/>
              </w:rPr>
              <w:t xml:space="preserve">NON — Interdit par les CGV. Mesures techniques de minimisation en place.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Volume estimé</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Quelques milliers de requêtes par jour (montée en charge progressive 2026)</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Fréquence</w:t>
            </w:r>
          </w:p>
        </w:tc>
        <w:tc>
          <w:tcPr>
            <w:tcW w:type="dxa" w:w="62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Continue (transfert via API en temps réel)</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Sous-traitants ultérieurs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Amazon Web Services (USA), Google Cloud Platform (USA) — couverts par DPA Anthropic</w:t>
            </w:r>
          </w:p>
        </w:tc>
      </w:tr>
    </w:tbl>
    <w:p>
      <w:pPr>
        <w:spacing w:after="120" w:line="300"/>
        <w:jc w:val="both"/>
      </w:pPr>
      <w:r>
        <w:rPr>
          <w:sz w:val="22"/>
          <w:szCs w:val="22"/>
        </w:rPr>
        <w:t xml:space="preserve"/>
      </w:r>
    </w:p>
    <w:p>
      <w:pPr>
        <w:pStyle w:val="Heading1"/>
        <w:spacing w:after="240" w:before="360"/>
      </w:pPr>
      <w:r>
        <w:rPr>
          <w:b/>
          <w:bCs/>
          <w:color w:val="1A3A5C"/>
          <w:sz w:val="30"/>
          <w:szCs w:val="30"/>
        </w:rPr>
        <w:t xml:space="preserve">ÉTAPE 2 — Outil de transfert utilisé</w:t>
      </w:r>
    </w:p>
    <w:p>
      <w:pPr>
        <w:spacing w:after="120" w:line="300"/>
        <w:jc w:val="both"/>
      </w:pPr>
      <w:r>
        <w:rPr>
          <w:sz w:val="22"/>
          <w:szCs w:val="22"/>
        </w:rPr>
        <w:t xml:space="preserve">Conformément au Chapitre V du RGPD, le transfert repose sur des garanties cumulatives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Mécanisme</w:t>
            </w:r>
          </w:p>
        </w:tc>
        <w:tc>
          <w:tcPr>
            <w:tcW w:type="dxa" w:w="702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Détails et fondements</w:t>
            </w:r>
          </w:p>
        </w:tc>
      </w:tr>
      <w:tr>
        <w:tc>
          <w:tcPr>
            <w:tcW w:type="dxa" w:w="234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tcPr>
          <w:p>
            <w:pPr>
              <w:jc w:val="left"/>
            </w:pPr>
            <w:r>
              <w:rPr>
                <w:b/>
                <w:bCs/>
                <w:color w:val="2E7D32"/>
                <w:sz w:val="20"/>
                <w:szCs w:val="20"/>
              </w:rPr>
              <w:t xml:space="preserve">EU-US Data Privacy Framework (DPF)</w:t>
            </w:r>
          </w:p>
        </w:tc>
        <w:tc>
          <w:tcPr>
            <w:tcW w:type="dxa" w:w="702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tcPr>
          <w:p>
            <w:pPr>
              <w:jc w:val="left"/>
            </w:pPr>
            <w:r>
              <w:rPr>
                <w:color w:val="2E7D32"/>
                <w:sz w:val="20"/>
                <w:szCs w:val="20"/>
              </w:rPr>
              <w:t xml:space="preserve">Décision d'adéquation 2023/1795 de la Commission européenne du 10 juillet 2023. Anthropic PBC est inscrit sur la liste des entités auto-certifiées (vérifié sur dataprivacyframework.gov, avril 2026). Décision confirmée par le Tribunal de l'UE le 3 septembre 2025.</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Clauses Contractuelles Types (CCT)</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Décision d'exécution 2021/914 du 4 juin 2021, Modules 2 (responsable → sous-traitant) et 3 (sous-traitant → sous-traitant ultérieur), incorporées au DPA Anthropic. S'appliquent en garantie cumulative et subsidiaire au DPF.</w:t>
            </w:r>
          </w:p>
        </w:tc>
      </w:tr>
      <w:tr>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DPA contractuel</w:t>
            </w:r>
          </w:p>
        </w:tc>
        <w:tc>
          <w:tcPr>
            <w:tcW w:type="dxa" w:w="70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Data Processing Addendum signé entre NORMX AI et Anthropic PBC, conforme à l'article 28 RGPD. Disponible dans le dossier RGPD interne.</w:t>
            </w:r>
          </w:p>
        </w:tc>
      </w:tr>
    </w:tbl>
    <w:p>
      <w:pPr>
        <w:spacing w:after="120" w:line="300"/>
        <w:jc w:val="both"/>
      </w:pPr>
      <w:r>
        <w:rPr>
          <w:sz w:val="22"/>
          <w:szCs w:val="22"/>
        </w:rPr>
        <w:t xml:space="preserve"/>
      </w:r>
    </w:p>
    <w:p>
      <w:pPr>
        <w:spacing w:after="120" w:line="300"/>
        <w:jc w:val="both"/>
      </w:pPr>
      <w:r>
        <w:rPr>
          <w:i/>
          <w:iCs/>
          <w:sz w:val="22"/>
          <w:szCs w:val="22"/>
        </w:rPr>
        <w:t xml:space="preserve">Justification du cumul : compte tenu du contexte d'incertitude réglementaire (expiration de la Section 702 FISA programmée au 20 avril 2026, recours Latombe pendant devant la CJUE), NORMX AI applique une approche défensive en mobilisant simultanément le DPF et les CCT. Si le DPF venait à être invalidé, les CCT prendraient automatiquement le relais.</w:t>
      </w:r>
    </w:p>
    <w:p>
      <w:pPr>
        <w:pStyle w:val="Heading1"/>
        <w:spacing w:after="240" w:before="360"/>
      </w:pPr>
      <w:r>
        <w:rPr>
          <w:b/>
          <w:bCs/>
          <w:color w:val="1A3A5C"/>
          <w:sz w:val="30"/>
          <w:szCs w:val="30"/>
        </w:rPr>
        <w:t xml:space="preserve">ÉTAPE 3 — Évaluation du droit du pays tiers (États-Unis)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Risque identifié</w:t>
            </w:r>
          </w:p>
        </w:tc>
        <w:tc>
          <w:tcPr>
            <w:tcW w:type="dxa" w:w="468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Description</w:t>
            </w:r>
          </w:p>
        </w:tc>
        <w:tc>
          <w:tcPr>
            <w:tcW w:type="dxa" w:w="234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Niveau</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FISA Section 702</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Surveillance ciblée par les agences fédérales de personnes non-américaines hors USA. Anthropic, en tant que fournisseur de communications électroniques, est susceptible d'y être soumis.</w:t>
            </w:r>
          </w:p>
        </w:tc>
        <w:tc>
          <w:tcPr>
            <w:tcW w:type="dxa" w:w="234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tcPr>
          <w:p>
            <w:pPr>
              <w:jc w:val="center"/>
            </w:pPr>
            <w:r>
              <w:rPr>
                <w:b/>
                <w:bCs/>
                <w:color w:val="E65100"/>
                <w:sz w:val="20"/>
                <w:szCs w:val="20"/>
              </w:rPr>
              <w:t xml:space="preserve">MOYEN</w:t>
            </w:r>
          </w:p>
        </w:tc>
      </w:tr>
      <w:tr>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Executive Order 12333</w:t>
            </w:r>
          </w:p>
        </w:tc>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Collecte de renseignement étranger en dehors du territoire américain, hors cadre FISA. Risque pour les transferts en transit.</w:t>
            </w:r>
          </w:p>
        </w:tc>
        <w:tc>
          <w:tcPr>
            <w:tcW w:type="dxa" w:w="234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tcPr>
          <w:p>
            <w:pPr>
              <w:jc w:val="center"/>
            </w:pPr>
            <w:r>
              <w:rPr>
                <w:b/>
                <w:bCs/>
                <w:color w:val="2E7D32"/>
                <w:sz w:val="20"/>
                <w:szCs w:val="20"/>
              </w:rPr>
              <w:t xml:space="preserve">FAIBLE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CLOUD Act (2018)</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Permet aux autorités US d'exiger des fournisseurs cloud la communication de données stockées hors USA.</w:t>
            </w:r>
          </w:p>
        </w:tc>
        <w:tc>
          <w:tcPr>
            <w:tcW w:type="dxa" w:w="234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tcPr>
          <w:p>
            <w:pPr>
              <w:jc w:val="center"/>
            </w:pPr>
            <w:r>
              <w:rPr>
                <w:b/>
                <w:bCs/>
                <w:color w:val="E65100"/>
                <w:sz w:val="20"/>
                <w:szCs w:val="20"/>
              </w:rPr>
              <w:t xml:space="preserve">MOYEN</w:t>
            </w:r>
          </w:p>
        </w:tc>
      </w:tr>
      <w:tr>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Voies de recours pour personnes UE</w:t>
            </w:r>
          </w:p>
        </w:tc>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Mécanisme de recours DPF en deux étapes : Civil Liberties Protection Officer puis Data Protection Review Court (DPRC). Disponible et opérationnel.</w:t>
            </w:r>
          </w:p>
        </w:tc>
        <w:tc>
          <w:tcPr>
            <w:tcW w:type="dxa" w:w="234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tcPr>
          <w:p>
            <w:pPr>
              <w:jc w:val="center"/>
            </w:pPr>
            <w:r>
              <w:rPr>
                <w:b/>
                <w:bCs/>
                <w:color w:val="2E7D32"/>
                <w:sz w:val="20"/>
                <w:szCs w:val="20"/>
              </w:rPr>
              <w:t xml:space="preserve">ATTÉNUÉ</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Statut Section 702 au 26/04/2026</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Stop-gap législatif voté le 17/04/2026 expirant le 30/04/2026. Réautorisation longue (Foreign Intelligence Accountability Act, 3 ans) en discussion. Surveillance accrue requise.</w:t>
            </w:r>
          </w:p>
        </w:tc>
        <w:tc>
          <w:tcPr>
            <w:tcW w:type="dxa" w:w="234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center"/>
            </w:pPr>
            <w:r>
              <w:rPr>
                <w:b/>
                <w:bCs/>
                <w:color w:val="C62828"/>
                <w:sz w:val="20"/>
                <w:szCs w:val="20"/>
              </w:rPr>
              <w:t xml:space="preserve">À SURVEILLER</w:t>
            </w:r>
          </w:p>
        </w:tc>
      </w:tr>
    </w:tbl>
    <w:p>
      <w:pPr>
        <w:spacing w:after="120" w:line="300"/>
        <w:jc w:val="both"/>
      </w:pPr>
      <w:r>
        <w:rPr>
          <w:sz w:val="22"/>
          <w:szCs w:val="22"/>
        </w:rPr>
        <w:t xml:space="preserve"/>
      </w:r>
    </w:p>
    <w:p>
      <w:pPr>
        <w:pStyle w:val="Heading1"/>
        <w:spacing w:after="240" w:before="360"/>
      </w:pPr>
      <w:r>
        <w:rPr>
          <w:b/>
          <w:bCs/>
          <w:color w:val="1A3A5C"/>
          <w:sz w:val="30"/>
          <w:szCs w:val="30"/>
        </w:rPr>
        <w:t xml:space="preserve">ÉTAPE 4 — Mesures supplémentaires mises en œuvre</w:t>
      </w:r>
    </w:p>
    <w:p>
      <w:pPr>
        <w:pStyle w:val="Heading2"/>
        <w:spacing w:after="140" w:before="240"/>
      </w:pPr>
      <w:r>
        <w:rPr>
          <w:b/>
          <w:bCs/>
          <w:color w:val="1A3A5C"/>
          <w:sz w:val="24"/>
          <w:szCs w:val="24"/>
        </w:rPr>
        <w:t xml:space="preserve">Mesures techniques</w:t>
      </w:r>
    </w:p>
    <w:p>
      <w:pPr>
        <w:pStyle w:val="ListParagraph"/>
        <w:numPr>
          <w:ilvl w:val="0"/>
          <w:numId w:val="2"/>
        </w:numPr>
        <w:spacing w:after="60" w:line="280"/>
      </w:pPr>
      <w:r>
        <w:rPr>
          <w:sz w:val="22"/>
          <w:szCs w:val="22"/>
        </w:rPr>
        <w:t xml:space="preserve">Chiffrement TLS 1.2+ en transit pour tous les transferts API vers Anthropic</w:t>
      </w:r>
    </w:p>
    <w:p>
      <w:pPr>
        <w:pStyle w:val="ListParagraph"/>
        <w:numPr>
          <w:ilvl w:val="0"/>
          <w:numId w:val="2"/>
        </w:numPr>
        <w:spacing w:after="60" w:line="280"/>
      </w:pPr>
      <w:r>
        <w:rPr>
          <w:sz w:val="22"/>
          <w:szCs w:val="22"/>
        </w:rPr>
        <w:t xml:space="preserve">Chiffrement AES-256 au repos chez Anthropic (engagement contractuel)</w:t>
      </w:r>
    </w:p>
    <w:p>
      <w:pPr>
        <w:pStyle w:val="ListParagraph"/>
        <w:numPr>
          <w:ilvl w:val="0"/>
          <w:numId w:val="2"/>
        </w:numPr>
        <w:spacing w:after="60" w:line="280"/>
      </w:pPr>
      <w:r>
        <w:rPr>
          <w:sz w:val="22"/>
          <w:szCs w:val="22"/>
        </w:rPr>
        <w:t xml:space="preserve">Authentification API par clé secrète à rotation périodique</w:t>
      </w:r>
    </w:p>
    <w:p>
      <w:pPr>
        <w:pStyle w:val="ListParagraph"/>
        <w:numPr>
          <w:ilvl w:val="0"/>
          <w:numId w:val="2"/>
        </w:numPr>
        <w:spacing w:after="60" w:line="280"/>
      </w:pPr>
      <w:r>
        <w:rPr>
          <w:sz w:val="22"/>
          <w:szCs w:val="22"/>
        </w:rPr>
        <w:t xml:space="preserve">Pseudonymisation systématique des identifiants utilisateurs avant transmission</w:t>
      </w:r>
    </w:p>
    <w:p>
      <w:pPr>
        <w:pStyle w:val="ListParagraph"/>
        <w:numPr>
          <w:ilvl w:val="0"/>
          <w:numId w:val="2"/>
        </w:numPr>
        <w:spacing w:after="60" w:line="280"/>
      </w:pPr>
      <w:r>
        <w:rPr>
          <w:sz w:val="22"/>
          <w:szCs w:val="22"/>
        </w:rPr>
        <w:t xml:space="preserve">Filtre amont de minimisation des données : interdiction technique de transmettre certains motifs (NIR français, IBAN bruts, numéros de carte)</w:t>
      </w:r>
    </w:p>
    <w:p>
      <w:pPr>
        <w:pStyle w:val="Heading2"/>
        <w:spacing w:after="140" w:before="240"/>
      </w:pPr>
      <w:r>
        <w:rPr>
          <w:b/>
          <w:bCs/>
          <w:color w:val="1A3A5C"/>
          <w:sz w:val="24"/>
          <w:szCs w:val="24"/>
        </w:rPr>
        <w:t xml:space="preserve">Mesures contractuelles</w:t>
      </w:r>
    </w:p>
    <w:p>
      <w:pPr>
        <w:pStyle w:val="ListParagraph"/>
        <w:numPr>
          <w:ilvl w:val="0"/>
          <w:numId w:val="2"/>
        </w:numPr>
        <w:spacing w:after="60" w:line="280"/>
      </w:pPr>
      <w:r>
        <w:rPr>
          <w:sz w:val="22"/>
          <w:szCs w:val="22"/>
        </w:rPr>
        <w:t xml:space="preserve">DPA Anthropic incorporant les Clauses Contractuelles Types Modules 2 et 3</w:t>
      </w:r>
    </w:p>
    <w:p>
      <w:pPr>
        <w:pStyle w:val="ListParagraph"/>
        <w:numPr>
          <w:ilvl w:val="0"/>
          <w:numId w:val="2"/>
        </w:numPr>
        <w:spacing w:after="60" w:line="280"/>
      </w:pPr>
      <w:r>
        <w:rPr>
          <w:sz w:val="22"/>
          <w:szCs w:val="22"/>
        </w:rPr>
        <w:t xml:space="preserve">Engagement contractuel d'Anthropic : pas d'utilisation des données pour entraîner les modèles</w:t>
      </w:r>
    </w:p>
    <w:p>
      <w:pPr>
        <w:pStyle w:val="ListParagraph"/>
        <w:numPr>
          <w:ilvl w:val="0"/>
          <w:numId w:val="2"/>
        </w:numPr>
        <w:spacing w:after="60" w:line="280"/>
      </w:pPr>
      <w:r>
        <w:rPr>
          <w:sz w:val="22"/>
          <w:szCs w:val="22"/>
        </w:rPr>
        <w:t xml:space="preserve">Rétention contractuelle des logs limitée à 7 jours maximum</w:t>
      </w:r>
    </w:p>
    <w:p>
      <w:pPr>
        <w:pStyle w:val="ListParagraph"/>
        <w:numPr>
          <w:ilvl w:val="0"/>
          <w:numId w:val="2"/>
        </w:numPr>
        <w:spacing w:after="60" w:line="280"/>
      </w:pPr>
      <w:r>
        <w:rPr>
          <w:sz w:val="22"/>
          <w:szCs w:val="22"/>
        </w:rPr>
        <w:t xml:space="preserve">Notification obligatoire de toute violation de données sous 48 heures</w:t>
      </w:r>
    </w:p>
    <w:p>
      <w:pPr>
        <w:pStyle w:val="ListParagraph"/>
        <w:numPr>
          <w:ilvl w:val="0"/>
          <w:numId w:val="2"/>
        </w:numPr>
        <w:spacing w:after="60" w:line="280"/>
      </w:pPr>
      <w:r>
        <w:rPr>
          <w:sz w:val="22"/>
          <w:szCs w:val="22"/>
        </w:rPr>
        <w:t xml:space="preserve">Notification obligatoire de toute demande contraignante d'autorité publique américaine, sauf interdiction légale</w:t>
      </w:r>
    </w:p>
    <w:p>
      <w:pPr>
        <w:pStyle w:val="ListParagraph"/>
        <w:numPr>
          <w:ilvl w:val="0"/>
          <w:numId w:val="2"/>
        </w:numPr>
        <w:spacing w:after="60" w:line="280"/>
      </w:pPr>
      <w:r>
        <w:rPr>
          <w:sz w:val="22"/>
          <w:szCs w:val="22"/>
        </w:rPr>
        <w:t xml:space="preserve">Engagement de transparence et de challenge juridique des demandes manifestement disproportionnées</w:t>
      </w:r>
    </w:p>
    <w:p>
      <w:pPr>
        <w:pStyle w:val="Heading2"/>
        <w:spacing w:after="140" w:before="240"/>
      </w:pPr>
      <w:r>
        <w:rPr>
          <w:b/>
          <w:bCs/>
          <w:color w:val="1A3A5C"/>
          <w:sz w:val="24"/>
          <w:szCs w:val="24"/>
        </w:rPr>
        <w:t xml:space="preserve">Mesures organisationnelles</w:t>
      </w:r>
    </w:p>
    <w:p>
      <w:pPr>
        <w:pStyle w:val="ListParagraph"/>
        <w:numPr>
          <w:ilvl w:val="0"/>
          <w:numId w:val="2"/>
        </w:numPr>
        <w:spacing w:after="60" w:line="280"/>
      </w:pPr>
      <w:r>
        <w:rPr>
          <w:sz w:val="22"/>
          <w:szCs w:val="22"/>
        </w:rPr>
        <w:t xml:space="preserve">Information transparente des utilisateurs dans les CGV (article 14) et la Politique de Confidentialité (articles 6 et 7)</w:t>
      </w:r>
    </w:p>
    <w:p>
      <w:pPr>
        <w:pStyle w:val="ListParagraph"/>
        <w:numPr>
          <w:ilvl w:val="0"/>
          <w:numId w:val="2"/>
        </w:numPr>
        <w:spacing w:after="60" w:line="280"/>
      </w:pPr>
      <w:r>
        <w:rPr>
          <w:sz w:val="22"/>
          <w:szCs w:val="22"/>
        </w:rPr>
        <w:t xml:space="preserve">Recommandation aux utilisateurs de pseudonymiser les données de tiers dans leurs requêtes</w:t>
      </w:r>
    </w:p>
    <w:p>
      <w:pPr>
        <w:pStyle w:val="ListParagraph"/>
        <w:numPr>
          <w:ilvl w:val="0"/>
          <w:numId w:val="2"/>
        </w:numPr>
        <w:spacing w:after="60" w:line="280"/>
      </w:pPr>
      <w:r>
        <w:rPr>
          <w:sz w:val="22"/>
          <w:szCs w:val="22"/>
        </w:rPr>
        <w:t xml:space="preserve">Formation interne du personnel NORMX AI à la minimisation des données</w:t>
      </w:r>
    </w:p>
    <w:p>
      <w:pPr>
        <w:pStyle w:val="ListParagraph"/>
        <w:numPr>
          <w:ilvl w:val="0"/>
          <w:numId w:val="2"/>
        </w:numPr>
        <w:spacing w:after="60" w:line="280"/>
      </w:pPr>
      <w:r>
        <w:rPr>
          <w:sz w:val="22"/>
          <w:szCs w:val="22"/>
        </w:rPr>
        <w:t xml:space="preserve">Veille juridique mensuelle sur l'évolution du cadre des transferts (FISA, DPF, jurisprudence Schrems)</w:t>
      </w:r>
    </w:p>
    <w:p>
      <w:pPr>
        <w:pStyle w:val="ListParagraph"/>
        <w:numPr>
          <w:ilvl w:val="0"/>
          <w:numId w:val="2"/>
        </w:numPr>
        <w:spacing w:after="60" w:line="280"/>
      </w:pPr>
      <w:r>
        <w:rPr>
          <w:sz w:val="22"/>
          <w:szCs w:val="22"/>
        </w:rPr>
        <w:t xml:space="preserve">Plan de réversibilité documenté en cas d'invalidation du DPF (basculement vers les CCT seules ; à terme, étude d'alternatives européennes — Mistral, etc.)</w:t>
      </w:r>
    </w:p>
    <w:p>
      <w:pPr>
        <w:pStyle w:val="Heading1"/>
        <w:spacing w:after="240" w:before="360"/>
      </w:pPr>
      <w:r>
        <w:rPr>
          <w:b/>
          <w:bCs/>
          <w:color w:val="1A3A5C"/>
          <w:sz w:val="30"/>
          <w:szCs w:val="30"/>
        </w:rPr>
        <w:t xml:space="preserve">ÉTAPE 5 — Évaluation finale et décision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Critère</w:t>
            </w:r>
          </w:p>
        </w:tc>
        <w:tc>
          <w:tcPr>
            <w:tcW w:type="dxa" w:w="312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Évaluation</w:t>
            </w:r>
          </w:p>
        </w:tc>
        <w:tc>
          <w:tcPr>
            <w:tcW w:type="dxa" w:w="312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Niveau de risque résiduel</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Confidentialité des données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Chiffrement E2E + DPA + minimisation</w:t>
            </w:r>
          </w:p>
        </w:tc>
        <w:tc>
          <w:tcPr>
            <w:tcW w:type="dxa" w:w="312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tcPr>
          <w:p>
            <w:pPr>
              <w:jc w:val="center"/>
            </w:pPr>
            <w:r>
              <w:rPr>
                <w:b/>
                <w:bCs/>
                <w:color w:val="2E7D32"/>
                <w:sz w:val="20"/>
                <w:szCs w:val="20"/>
              </w:rPr>
              <w:t xml:space="preserve">FAIBLE</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Accès par autorités américaines</w:t>
            </w:r>
          </w:p>
        </w:tc>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Théoriquement possible mais : (i) données pseudonymisées ; (ii) pas de données sensibles ; (iii) recours DPRC disponible</w:t>
            </w:r>
          </w:p>
        </w:tc>
        <w:tc>
          <w:tcPr>
            <w:tcW w:type="dxa" w:w="312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tcPr>
          <w:p>
            <w:pPr>
              <w:jc w:val="center"/>
            </w:pPr>
            <w:r>
              <w:rPr>
                <w:b/>
                <w:bCs/>
                <w:color w:val="E65100"/>
                <w:sz w:val="20"/>
                <w:szCs w:val="20"/>
              </w:rPr>
              <w:t xml:space="preserve">MOYEN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Stabilité juridique du DPF</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Validé par TUE 03/09/2025, recours Latombe pendant ; FISA en renégociation</w:t>
            </w:r>
          </w:p>
        </w:tc>
        <w:tc>
          <w:tcPr>
            <w:tcW w:type="dxa" w:w="312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tcPr>
          <w:p>
            <w:pPr>
              <w:jc w:val="center"/>
            </w:pPr>
            <w:r>
              <w:rPr>
                <w:b/>
                <w:bCs/>
                <w:color w:val="E65100"/>
                <w:sz w:val="20"/>
                <w:szCs w:val="20"/>
              </w:rPr>
              <w:t xml:space="preserve">MOYEN</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Capacité de réversibilité</w:t>
            </w:r>
          </w:p>
        </w:tc>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CCT en garantie cumulative, plan de bascule documenté</w:t>
            </w:r>
          </w:p>
        </w:tc>
        <w:tc>
          <w:tcPr>
            <w:tcW w:type="dxa" w:w="312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tcPr>
          <w:p>
            <w:pPr>
              <w:jc w:val="center"/>
            </w:pPr>
            <w:r>
              <w:rPr>
                <w:b/>
                <w:bCs/>
                <w:color w:val="2E7D32"/>
                <w:sz w:val="20"/>
                <w:szCs w:val="20"/>
              </w:rPr>
              <w:t xml:space="preserve">FAIBLE</w:t>
            </w:r>
          </w:p>
        </w:tc>
      </w:tr>
    </w:tbl>
    <w:p>
      <w:pPr>
        <w:spacing w:after="120" w:line="300"/>
        <w:jc w:val="both"/>
      </w:pPr>
      <w:r>
        <w:rPr>
          <w:sz w:val="22"/>
          <w:szCs w:val="22"/>
        </w:rPr>
        <w:t xml:space="preserve"/>
      </w:r>
    </w:p>
    <w:p>
      <w:pPr>
        <w:pStyle w:val="Heading2"/>
        <w:spacing w:after="140" w:before="240"/>
      </w:pPr>
      <w:r>
        <w:rPr>
          <w:b/>
          <w:bCs/>
          <w:color w:val="1A3A5C"/>
          <w:sz w:val="24"/>
          <w:szCs w:val="24"/>
        </w:rPr>
        <w:t xml:space="preserve">Décision</w:t>
      </w:r>
    </w:p>
    <w:p>
      <w:pPr>
        <w:spacing w:after="120" w:line="300"/>
        <w:jc w:val="both"/>
      </w:pPr>
      <w:r>
        <w:rPr>
          <w:b/>
          <w:bCs/>
          <w:sz w:val="22"/>
          <w:szCs w:val="22"/>
        </w:rPr>
        <w:t xml:space="preserve">Au regard de l'ensemble des garanties cumulatives mises en œuvre (DPF + CCT + DPA + mesures techniques et organisationnelles supplémentaires), NORMX AI considère que le niveau de protection accordé aux données transférées vers Anthropic PBC est essentiellement équivalent à celui garanti par le RGPD au sein de l'Union européenne, conformément à la jurisprudence Schrems II.</w:t>
      </w:r>
    </w:p>
    <w:p>
      <w:pPr>
        <w:spacing w:after="120" w:line="300"/>
        <w:jc w:val="both"/>
      </w:pPr>
      <w:r>
        <w:rPr>
          <w:b/>
          <w:bCs/>
          <w:color w:val="2E7D32"/>
          <w:sz w:val="22"/>
          <w:szCs w:val="22"/>
        </w:rPr>
        <w:t xml:space="preserve">Le transfert est donc autorisé.</w:t>
      </w:r>
    </w:p>
    <w:p>
      <w:pPr>
        <w:pStyle w:val="Heading2"/>
        <w:spacing w:after="140" w:before="240"/>
      </w:pPr>
      <w:r>
        <w:rPr>
          <w:b/>
          <w:bCs/>
          <w:color w:val="1A3A5C"/>
          <w:sz w:val="24"/>
          <w:szCs w:val="24"/>
        </w:rPr>
        <w:t xml:space="preserve">Engagements de suivi</w:t>
      </w:r>
    </w:p>
    <w:p>
      <w:pPr>
        <w:pStyle w:val="ListParagraph"/>
        <w:numPr>
          <w:ilvl w:val="0"/>
          <w:numId w:val="2"/>
        </w:numPr>
        <w:spacing w:after="60" w:line="280"/>
      </w:pPr>
      <w:r>
        <w:rPr>
          <w:sz w:val="22"/>
          <w:szCs w:val="22"/>
        </w:rPr>
        <w:t xml:space="preserve">Veille mensuelle sur le statut FISA Section 702 et les évolutions du DPF</w:t>
      </w:r>
    </w:p>
    <w:p>
      <w:pPr>
        <w:pStyle w:val="ListParagraph"/>
        <w:numPr>
          <w:ilvl w:val="0"/>
          <w:numId w:val="2"/>
        </w:numPr>
        <w:spacing w:after="60" w:line="280"/>
      </w:pPr>
      <w:r>
        <w:rPr>
          <w:sz w:val="22"/>
          <w:szCs w:val="22"/>
        </w:rPr>
        <w:t xml:space="preserve">Vérification trimestrielle de l'inscription d'Anthropic sur la liste DPF officielle</w:t>
      </w:r>
    </w:p>
    <w:p>
      <w:pPr>
        <w:pStyle w:val="ListParagraph"/>
        <w:numPr>
          <w:ilvl w:val="0"/>
          <w:numId w:val="2"/>
        </w:numPr>
        <w:spacing w:after="60" w:line="280"/>
      </w:pPr>
      <w:r>
        <w:rPr>
          <w:sz w:val="22"/>
          <w:szCs w:val="22"/>
        </w:rPr>
        <w:t xml:space="preserve">Révision annuelle obligatoire du présent TIA (prochaine : 26 avril 2027)</w:t>
      </w:r>
    </w:p>
    <w:p>
      <w:pPr>
        <w:pStyle w:val="ListParagraph"/>
        <w:numPr>
          <w:ilvl w:val="0"/>
          <w:numId w:val="2"/>
        </w:numPr>
        <w:spacing w:after="60" w:line="280"/>
      </w:pPr>
      <w:r>
        <w:rPr>
          <w:sz w:val="22"/>
          <w:szCs w:val="22"/>
        </w:rPr>
        <w:t xml:space="preserve">Révision exceptionnelle déclenchée par : invalidation du DPF, modification des CCT, changement substantiel des pratiques d'Anthropic, alerte CNIL ou EDPB</w:t>
      </w:r>
    </w:p>
    <w:p>
      <w:pPr>
        <w:spacing w:after="120" w:line="300"/>
        <w:jc w:val="both"/>
      </w:pPr>
      <w:r>
        <w:rPr>
          <w:sz w:val="22"/>
          <w:szCs w:val="22"/>
        </w:rPr>
        <w:t xml:space="preserve"/>
      </w:r>
    </w:p>
    <w:p>
      <w:pPr>
        <w:spacing w:after="120" w:line="300"/>
        <w:jc w:val="both"/>
      </w:pPr>
      <w:r>
        <w:rPr>
          <w:sz w:val="22"/>
          <w:szCs w:val="22"/>
        </w:rPr>
        <w:t xml:space="preserve"/>
      </w:r>
    </w:p>
    <w:p>
      <w:pPr>
        <w:spacing w:after="120" w:line="300"/>
        <w:jc w:val="both"/>
      </w:pPr>
      <w:r>
        <w:rPr>
          <w:sz w:val="22"/>
          <w:szCs w:val="22"/>
        </w:rPr>
        <w:t xml:space="preserve">Document établi et validé par :</w:t>
      </w:r>
    </w:p>
    <w:p>
      <w:pPr>
        <w:spacing w:after="120" w:line="300"/>
        <w:jc w:val="both"/>
      </w:pPr>
      <w:r>
        <w:rPr>
          <w:b/>
          <w:bCs/>
          <w:sz w:val="22"/>
          <w:szCs w:val="22"/>
        </w:rPr>
        <w:t xml:space="preserve">Christelle POATY-KAMBISSI</w:t>
      </w:r>
    </w:p>
    <w:p>
      <w:pPr>
        <w:spacing w:after="120" w:line="300"/>
        <w:jc w:val="both"/>
      </w:pPr>
      <w:r>
        <w:rPr>
          <w:sz w:val="22"/>
          <w:szCs w:val="22"/>
        </w:rPr>
        <w:t xml:space="preserve">Déléguée à la Protection des Données (DPO)</w:t>
      </w:r>
    </w:p>
    <w:p>
      <w:pPr>
        <w:spacing w:after="120" w:line="300"/>
        <w:jc w:val="both"/>
      </w:pPr>
      <w:r>
        <w:rPr>
          <w:sz w:val="22"/>
          <w:szCs w:val="22"/>
        </w:rPr>
        <w:t xml:space="preserve">NORMX AI SAS</w:t>
      </w:r>
    </w:p>
    <w:p>
      <w:pPr>
        <w:spacing w:after="120" w:line="300"/>
        <w:jc w:val="both"/>
      </w:pPr>
      <w:r>
        <w:rPr>
          <w:sz w:val="22"/>
          <w:szCs w:val="22"/>
        </w:rPr>
        <w:t xml:space="preserve"/>
      </w:r>
    </w:p>
    <w:p>
      <w:pPr>
        <w:spacing w:after="120" w:line="300"/>
        <w:jc w:val="both"/>
      </w:pPr>
      <w:r>
        <w:rPr>
          <w:sz w:val="22"/>
          <w:szCs w:val="22"/>
        </w:rPr>
        <w:t xml:space="preserve">Signature et date : 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Document interne RGPD — NORMX AI SAS — 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NORMX AI — TIA Anthropic — v1.0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A3A5C"/>
      <w:sz w:val="30"/>
      <w:szCs w:val="30"/>
    </w:rPr>
  </w:style>
  <w:style w:type="paragraph" w:styleId="Heading2">
    <w:name w:val="Heading 2"/>
    <w:basedOn w:val="Normal"/>
    <w:next w:val="Normal"/>
    <w:qFormat/>
    <w:pPr>
      <w:spacing w:after="140" w:before="240"/>
      <w:outlineLvl w:val="1"/>
    </w:pPr>
    <w:rPr>
      <w:rFonts w:ascii="Calibri" w:cs="Calibri" w:eastAsia="Calibri" w:hAnsi="Calibri"/>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TIA Anthropic - NORMX AI</dc:title>
  <dc:creator>NORMX AI</dc:creator>
  <cp:lastModifiedBy>Un-named</cp:lastModifiedBy>
  <cp:revision>1</cp:revision>
  <dcterms:created xsi:type="dcterms:W3CDTF">2026-04-26T16:13:34.729Z</dcterms:created>
  <dcterms:modified xsi:type="dcterms:W3CDTF">2026-04-26T16:13:34.730Z</dcterms:modified>
</cp:coreProperties>
</file>

<file path=docProps/custom.xml><?xml version="1.0" encoding="utf-8"?>
<Properties xmlns="http://schemas.openxmlformats.org/officeDocument/2006/custom-properties" xmlns:vt="http://schemas.openxmlformats.org/officeDocument/2006/docPropsVTypes"/>
</file>