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2A126">
      <w:pPr>
        <w:pStyle w:val="4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Olist Delivery Intelligence Dashboard — Key Findings</w:t>
      </w:r>
    </w:p>
    <w:p w14:paraId="0D7F50DC">
      <w:pPr>
        <w:pStyle w:val="4"/>
        <w:rPr>
          <w:rFonts w:hint="default" w:ascii="Times New Roman" w:hAnsi="Times New Roman" w:cs="Times New Roman"/>
        </w:rPr>
      </w:pPr>
    </w:p>
    <w:p w14:paraId="1F5B9EB7">
      <w:pPr>
        <w:pStyle w:val="4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Dataset: 110,781 orders | Sep 2016 – Aug 2018 | Overall delay rate: 6.58%</w:t>
      </w:r>
    </w:p>
    <w:p w14:paraId="0065CFCF">
      <w:pPr>
        <w:pStyle w:val="4"/>
        <w:rPr>
          <w:rFonts w:hint="default" w:ascii="Times New Roman" w:hAnsi="Times New Roman" w:cs="Times New Roman"/>
        </w:rPr>
      </w:pPr>
    </w:p>
    <w:p w14:paraId="1E916C5E">
      <w:pPr>
        <w:pStyle w:val="4"/>
        <w:rPr>
          <w:rFonts w:hint="default" w:ascii="Times New Roman" w:hAnsi="Times New Roman" w:cs="Times New Roman"/>
        </w:rPr>
      </w:pPr>
    </w:p>
    <w:p w14:paraId="0D87FB59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Chart 1 — Monthly Delay Rate Trend</w:t>
      </w:r>
    </w:p>
    <w:p w14:paraId="18529469">
      <w:pPr>
        <w:pStyle w:val="4"/>
        <w:rPr>
          <w:rFonts w:hint="default" w:ascii="Times New Roman" w:hAnsi="Times New Roman" w:cs="Times New Roman"/>
        </w:rPr>
      </w:pPr>
    </w:p>
    <w:p w14:paraId="5F37D1E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Delay rates spiked to 18% in Mar 2018 and 14% in Feb 2018, coinciding with Carnival season and post-holiday volume surges. Seasonal staffing adjustments and carrier pre-allocation could prevent these predictable bottlenecks.</w:t>
      </w:r>
    </w:p>
    <w:p w14:paraId="02A1D08E">
      <w:pPr>
        <w:pStyle w:val="4"/>
        <w:rPr>
          <w:rFonts w:hint="default" w:ascii="Times New Roman" w:hAnsi="Times New Roman" w:cs="Times New Roman"/>
        </w:rPr>
      </w:pPr>
    </w:p>
    <w:p w14:paraId="4C0B25C2">
      <w:pPr>
        <w:pStyle w:val="4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Chart 2 — Delay Rate by Customer State</w:t>
      </w:r>
    </w:p>
    <w:p w14:paraId="2B44D549">
      <w:pPr>
        <w:pStyle w:val="4"/>
        <w:rPr>
          <w:rFonts w:hint="default" w:ascii="Times New Roman" w:hAnsi="Times New Roman" w:cs="Times New Roman"/>
        </w:rPr>
      </w:pPr>
    </w:p>
    <w:p w14:paraId="347DA577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Alagoas (21%) and Maranhão (18%) have delay rates 3× the national average despite low order volume. These remote northern states likely face last-mile carrier coverage gaps that require dedicated regional logistics partners.</w:t>
      </w:r>
    </w:p>
    <w:p w14:paraId="7E619A4E">
      <w:pPr>
        <w:pStyle w:val="4"/>
        <w:rPr>
          <w:rFonts w:hint="default" w:ascii="Times New Roman" w:hAnsi="Times New Roman" w:cs="Times New Roman"/>
        </w:rPr>
      </w:pPr>
    </w:p>
    <w:p w14:paraId="62B96224">
      <w:pPr>
        <w:pStyle w:val="4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Chart 3 — Delay Rate by Order Value</w:t>
      </w:r>
    </w:p>
    <w:p w14:paraId="6BDC6ABA">
      <w:pPr>
        <w:pStyle w:val="4"/>
        <w:rPr>
          <w:rFonts w:hint="default" w:ascii="Times New Roman" w:hAnsi="Times New Roman" w:cs="Times New Roman"/>
        </w:rPr>
      </w:pPr>
    </w:p>
    <w:p w14:paraId="4382D27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Higher-value orders show progressively higher delay rates (5.5% under R\$50 vs 8.8% above R\$500). Heavier, bulkier products in premium orders likely drive longer fulfilment times — priority handling for high-value shipments could protect customer lifetime value.</w:t>
      </w:r>
    </w:p>
    <w:p w14:paraId="2538FABF">
      <w:pPr>
        <w:pStyle w:val="4"/>
        <w:rPr>
          <w:rFonts w:hint="default" w:ascii="Times New Roman" w:hAnsi="Times New Roman" w:cs="Times New Roman"/>
        </w:rPr>
      </w:pPr>
    </w:p>
    <w:p w14:paraId="4F4C8B5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Chart 4 — Delay Rate by Shipping Distance</w:t>
      </w:r>
    </w:p>
    <w:p w14:paraId="45DCD3E6">
      <w:pPr>
        <w:pStyle w:val="4"/>
        <w:rPr>
          <w:rFonts w:hint="default" w:ascii="Times New Roman" w:hAnsi="Times New Roman" w:cs="Times New Roman"/>
        </w:rPr>
      </w:pPr>
    </w:p>
    <w:p w14:paraId="29D964F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10–20 unit distance band peaks at 7.8% delay rate, then drops for longer distances. Mid-range routes may be underserved by carrier networks that prioritise metro and long-haul lanes, creating an operational blind spot.</w:t>
      </w:r>
    </w:p>
    <w:p w14:paraId="77B31693">
      <w:pPr>
        <w:pStyle w:val="4"/>
        <w:rPr>
          <w:rFonts w:hint="default" w:ascii="Times New Roman" w:hAnsi="Times New Roman" w:cs="Times New Roman"/>
        </w:rPr>
      </w:pPr>
    </w:p>
    <w:p w14:paraId="366AAF35">
      <w:pPr>
        <w:pStyle w:val="4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Chart 5 — Seller Performance (50+ Orders)</w:t>
      </w:r>
    </w:p>
    <w:p w14:paraId="0441E752">
      <w:pPr>
        <w:pStyle w:val="4"/>
        <w:rPr>
          <w:rFonts w:hint="default" w:ascii="Times New Roman" w:hAnsi="Times New Roman" w:cs="Times New Roman"/>
        </w:rPr>
      </w:pPr>
    </w:p>
    <w:p w14:paraId="309B2EAB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 sellers with 50+ orders exceed a 15% delay rate. Targeted seller coaching or SLA enforcement on this cohort could reduce overall delays by an estimated 0.3–0.5 percentage points without disrupting the broader marketplace.</w:t>
      </w:r>
    </w:p>
    <w:p w14:paraId="40110B18">
      <w:pPr>
        <w:pStyle w:val="4"/>
        <w:rPr>
          <w:rFonts w:hint="default" w:ascii="Times New Roman" w:hAnsi="Times New Roman" w:cs="Times New Roman"/>
        </w:rPr>
      </w:pPr>
    </w:p>
    <w:p w14:paraId="4A200E4F">
      <w:pPr>
        <w:pStyle w:val="4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Chart 6 — Actual vs Estimated Delivery Days</w:t>
      </w:r>
    </w:p>
    <w:p w14:paraId="0DC3E36A">
      <w:pPr>
        <w:pStyle w:val="4"/>
        <w:rPr>
          <w:rFonts w:hint="default" w:ascii="Times New Roman" w:hAnsi="Times New Roman" w:cs="Times New Roman"/>
        </w:rPr>
      </w:pPr>
    </w:p>
    <w:p w14:paraId="0501D4A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Carriers deliver in 9 days on average against a 24-day estimate — a 15-day buffer. Olist systematically over-promises delivery windows, which masks true operational performance and inflates customer expectations for reorders. Tightening estimates by even 5 days would improve transparency without increasing late deliveries.</w:t>
      </w:r>
    </w:p>
    <w:p w14:paraId="23D03AC7">
      <w:pPr>
        <w:pStyle w:val="4"/>
        <w:rPr>
          <w:rFonts w:hint="default" w:ascii="Times New Roman" w:hAnsi="Times New Roman" w:cs="Times New Roman"/>
        </w:rPr>
      </w:pPr>
    </w:p>
    <w:p w14:paraId="6F14E2CE">
      <w:pPr>
        <w:pStyle w:val="4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Methodology Note</w:t>
      </w:r>
    </w:p>
    <w:p w14:paraId="5C53C3DD">
      <w:pPr>
        <w:pStyle w:val="4"/>
        <w:rPr>
          <w:rFonts w:hint="default" w:ascii="Times New Roman" w:hAnsi="Times New Roman" w:cs="Times New Roman"/>
        </w:rPr>
      </w:pPr>
    </w:p>
    <w:p w14:paraId="529D2F99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Delay is defined as actual delivery date exceeding the estimated delivery date (`delivery_delay_days &gt; 0`)</w:t>
      </w:r>
    </w:p>
    <w:p w14:paraId="066806C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All metrics are interactive in the Power BI dashboard and can be filtered by date range and customer state</w:t>
      </w:r>
    </w:p>
    <w:p w14:paraId="3AD673B7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Seller scatter chart is filtered to sellers with 50+ orders to remove low-volume noise</w:t>
      </w:r>
    </w:p>
    <w:p w14:paraId="4695A50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The ML prediction model (Week 3) will use the patterns identified here as input features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B3C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358</Words>
  <Characters>1955</Characters>
  <TotalTime>2</TotalTime>
  <ScaleCrop>false</ScaleCrop>
  <LinksUpToDate>false</LinksUpToDate>
  <CharactersWithSpaces>2292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2026-05-22T08:37:04Z</dcterms:created>
  <dc:creator>KIIT</dc:creator>
  <cp:lastModifiedBy>NAMAN SETHI</cp:lastModifiedBy>
  <dcterms:modified xsi:type="dcterms:W3CDTF">2026-05-22T08:40:14Z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eyJoZGlkIjoiNDMxNDM5ZmNlYzJlYTlhN2FjODA2MmI3YmQ5ZDc3ZjYiLCJ1c2VySWQiOiI1NjcxMTQyODU1MTkifQ==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C233D288732842519ED08FA07763DE96_12</vt:lpwstr>
  </property>
</Properties>
</file>