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18"/>
        </w:rPr>
        <w:t>RESEARCH DECISION BRIEF</w:t>
      </w:r>
    </w:p>
    <w:p>
      <w:pPr>
        <w:spacing w:before="0" w:after="100"/>
      </w:pPr>
      <w:r>
        <w:rPr>
          <w:rFonts w:ascii="Calibri" w:hAnsi="Calibri"/>
          <w:b/>
          <w:color w:val="1F4D78"/>
          <w:sz w:val="46"/>
        </w:rPr>
        <w:t>A Paired Resting-and-Photic EEG Study for AD/FTD/CN Discrimination</w:t>
      </w:r>
    </w:p>
    <w:p>
      <w:pPr>
        <w:spacing w:after="300"/>
      </w:pPr>
      <w:r>
        <w:rPr>
          <w:rFonts w:ascii="Calibri" w:hAnsi="Calibri"/>
          <w:color w:val="5F6B76"/>
          <w:sz w:val="28"/>
        </w:rPr>
        <w:t>Presentation and decision brief for Ed G. Freedman</w:t>
      </w:r>
    </w:p>
    <w:p>
      <w:pPr>
        <w:spacing w:after="40"/>
      </w:pPr>
      <w:r>
        <w:rPr>
          <w:rFonts w:ascii="Calibri" w:hAnsi="Calibri"/>
          <w:b/>
          <w:color w:val="20262E"/>
          <w:sz w:val="21"/>
        </w:rPr>
        <w:t xml:space="preserve">Prepared by: </w:t>
      </w:r>
      <w:r>
        <w:rPr>
          <w:rFonts w:ascii="Calibri" w:hAnsi="Calibri"/>
          <w:color w:val="20262E"/>
          <w:sz w:val="21"/>
        </w:rPr>
        <w:t>Reuben Noronha</w:t>
      </w:r>
    </w:p>
    <w:p>
      <w:pPr>
        <w:spacing w:after="40"/>
      </w:pPr>
      <w:r>
        <w:rPr>
          <w:rFonts w:ascii="Calibri" w:hAnsi="Calibri"/>
          <w:b/>
          <w:color w:val="20262E"/>
          <w:sz w:val="21"/>
        </w:rPr>
        <w:t xml:space="preserve">Date: </w:t>
      </w:r>
      <w:r>
        <w:rPr>
          <w:rFonts w:ascii="Calibri" w:hAnsi="Calibri"/>
          <w:color w:val="20262E"/>
          <w:sz w:val="21"/>
        </w:rPr>
        <w:t>14 July 2026</w:t>
      </w:r>
    </w:p>
    <w:p>
      <w:pPr>
        <w:spacing w:after="40"/>
      </w:pPr>
      <w:r>
        <w:rPr>
          <w:rFonts w:ascii="Calibri" w:hAnsi="Calibri"/>
          <w:b/>
          <w:color w:val="20262E"/>
          <w:sz w:val="21"/>
        </w:rPr>
        <w:t xml:space="preserve">Status: </w:t>
      </w:r>
      <w:r>
        <w:rPr>
          <w:rFonts w:ascii="Calibri" w:hAnsi="Calibri"/>
          <w:color w:val="20262E"/>
          <w:sz w:val="21"/>
        </w:rPr>
        <w:t>Exploratory analysis completed; confirmatory approval requested</w:t>
      </w:r>
    </w:p>
    <w:p>
      <w:pPr>
        <w:spacing w:after="240"/>
      </w:pPr>
    </w:p>
    <w:p>
      <w:pPr>
        <w:pStyle w:val="Heading1"/>
      </w:pPr>
      <w:r>
        <w:t>The decision I am bringing</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50" w:type="dxa"/>
              <w:bottom w:w="150" w:type="dxa"/>
              <w:start w:w="220" w:type="dxa"/>
              <w:end w:w="220" w:type="dxa"/>
            </w:tcMar>
            <w:vAlign w:val="center"/>
            <w:shd w:fill="E8EEF5"/>
          </w:tcPr>
          <w:p>
            <w:pPr>
              <w:spacing w:after="0"/>
            </w:pPr>
            <w:r>
              <w:rPr>
                <w:rFonts w:ascii="Calibri" w:hAnsi="Calibri"/>
                <w:b/>
                <w:color w:val="2E74B5"/>
                <w:sz w:val="17"/>
              </w:rPr>
              <w:t>DECISION REQUESTED</w:t>
              <w:br/>
            </w:r>
            <w:r>
              <w:rPr>
                <w:rFonts w:ascii="Calibri" w:hAnsi="Calibri"/>
                <w:color w:val="20262E"/>
                <w:sz w:val="21"/>
              </w:rPr>
              <w:t>I am asking for approval to move this into a university-affiliated, independently validated study. The analysis plan, preliminary pipeline, and candidate model are already built. The institutional needs are a faculty sponsor, the appropriate IRB/data-governance determination, and access to or collection of an independent cohort containing Alzheimer disease (AD), frontotemporal dementia (FTD), and cognitively normal controls (CN) with both resting and photic-stimulation EEG.</w:t>
            </w:r>
          </w:p>
        </w:tc>
      </w:tr>
    </w:tbl>
    <w:p>
      <w:pPr>
        <w:spacing w:after="0"/>
      </w:pPr>
    </w:p>
    <w:p>
      <w:pPr>
        <w:pStyle w:val="Heading1"/>
      </w:pPr>
      <w:r>
        <w:t>My 90-second opening</w:t>
      </w:r>
    </w:p>
    <w:p>
      <w:pPr>
        <w:pStyle w:val="BriefQuote"/>
        <w:shd w:fill="E8EEF5"/>
      </w:pPr>
      <w:r>
        <w:rPr>
          <w:rFonts w:ascii="Calibri" w:hAnsi="Calibri"/>
          <w:color w:val="1F4D78"/>
          <w:sz w:val="21"/>
        </w:rPr>
        <w:t>I have a concrete EEG study that targets a weakness in current dementia machine learning. Many papers report very high accuracy from large models on one repeatedly used dataset, but the results are difficult to compare and may not transfer. My approach uses a small, physiologically organized detection mechanism in two stages. First, resting posterior slowing and complexity separate dementia from cognitively normal controls. Second, frequency-specific responses to 5, 10, 15, and 20 Hz photic stimulation help distinguish AD from FTD. I have already implemented the leakage-safe pipeline. In 87 paired participants, the two-stage model achieved a repeated nested-validation macro AUC of 0.777, compared with 0.663 for resting EEG alone. The paired improvement was 0.113, with a 95% confidence interval from 0.035 to 0.191. This is not yet a clinical model and it does not beat the highest published internal score. The next scientifically decisive step is to freeze a reduced panel and test it once in an independent AD/FTD/CN cohort. I am asking for the go-ahead to run that confirmatory study with university affiliation and the required institutional oversight.</w:t>
      </w:r>
    </w:p>
    <w:p>
      <w:pPr>
        <w:pStyle w:val="Heading1"/>
      </w:pPr>
      <w:r>
        <w:t>The study in one sentence</w:t>
      </w:r>
    </w:p>
    <w:p>
      <w:r>
        <w:rPr>
          <w:rFonts w:ascii="Calibri" w:hAnsi="Calibri"/>
          <w:color w:val="20262E"/>
        </w:rPr>
        <w:t>Test whether a two-stage, low-parameter EEG model combining a resting neural trait with a frequency-resolved response to photic stimulation improves participant-level discrimination among AD, FTD, and CN and transfers to a new clinical cohort.</w:t>
      </w:r>
    </w:p>
    <w:p>
      <w:pPr>
        <w:pStyle w:val="Heading1"/>
      </w:pPr>
      <w:r>
        <w:t>Main research question</w:t>
      </w:r>
    </w:p>
    <w:p>
      <w:r>
        <w:rPr>
          <w:rFonts w:ascii="Calibri" w:hAnsi="Calibri"/>
          <w:color w:val="20262E"/>
        </w:rPr>
        <w:t>Does a leakage-safe, two-stage model combining resting EEG topography with a frequency-resolved photic-response fingerprint improve participant-level AD/FTD/CN discrimination compared with resting EEG alone?</w:t>
      </w:r>
    </w:p>
    <w:p>
      <w:pPr>
        <w:pStyle w:val="Heading1"/>
      </w:pPr>
      <w:r>
        <w:t>Main hypothesis</w:t>
      </w:r>
    </w:p>
    <w:p>
      <w:r>
        <w:rPr>
          <w:rFonts w:ascii="Calibri" w:hAnsi="Calibri"/>
          <w:color w:val="20262E"/>
        </w:rPr>
        <w:t>AD and FTD differ not only in the amount and location of resting EEG slowing, but also in how cortical oscillations, aperiodic activity, and complexity respond to controlled visual drive. A model that first detects dementia from resting posterior theta/complexity and then separates AD from FTD using the spatial 5 and 20 Hz response will outperform a resting-only model and retain useful performance in an independent cohort.</w:t>
      </w:r>
    </w:p>
    <w:p>
      <w:pPr>
        <w:pStyle w:val="Heading1"/>
      </w:pPr>
      <w:r>
        <w:t>How the model works</w:t>
      </w:r>
    </w:p>
    <w:p>
      <w:pPr>
        <w:pStyle w:val="Heading2"/>
      </w:pPr>
      <w:r>
        <w:t>Stage 1: dementia screen</w:t>
      </w:r>
    </w:p>
    <w:p>
      <w:r>
        <w:rPr>
          <w:rFonts w:ascii="Calibri" w:hAnsi="Calibri"/>
          <w:color w:val="20262E"/>
        </w:rPr>
        <w:t>The first head separates AD plus FTD from CN. It emphasizes stable resting features such as posterior theta activity, caudal complexity, and surrogate-normalized complexity.</w:t>
      </w:r>
    </w:p>
    <w:p>
      <w:pPr>
        <w:pStyle w:val="Heading2"/>
      </w:pPr>
      <w:r>
        <w:t>Stage 2: subtype test</w:t>
      </w:r>
    </w:p>
    <w:p>
      <w:r>
        <w:rPr>
          <w:rFonts w:ascii="Calibri" w:hAnsi="Calibri"/>
          <w:color w:val="20262E"/>
        </w:rPr>
        <w:t>Among participants classified as having dementia, the second head separates AD from FTD. It emphasizes central-temporal frequency-response features, including 20 Hz median-frequency response, 5 Hz temporal complexity and beta/gamma power, and 20 Hz parietal aperiodic exponent.</w:t>
      </w:r>
    </w:p>
    <w:p>
      <w:pPr>
        <w:pStyle w:val="Heading2"/>
      </w:pPr>
      <w:r>
        <w:t>Final probabilities</w:t>
      </w:r>
    </w:p>
    <w:p>
      <w:r>
        <w:rPr>
          <w:rFonts w:ascii="Calibri" w:hAnsi="Calibri"/>
          <w:color w:val="20262E"/>
        </w:rPr>
        <w:t>The two heads produce one probability for each diagnosis. No age, sex, MMSE, epoch identity, or participant identifier is used as a predictor.</w:t>
      </w:r>
    </w:p>
    <w:p>
      <w:pPr>
        <w:pStyle w:val="Heading1"/>
      </w:pPr>
      <w:r>
        <w:t>What I have already completed</w:t>
      </w:r>
    </w:p>
    <w:p>
      <w:pPr>
        <w:pStyle w:val="ListBullet"/>
      </w:pPr>
      <w:r>
        <w:rPr>
          <w:rFonts w:ascii="Calibri" w:hAnsi="Calibri"/>
          <w:color w:val="20262E"/>
        </w:rPr>
        <w:t>Checksum-validated public OpenNeuro photic EEG data for 88 participants.</w:t>
      </w:r>
    </w:p>
    <w:p>
      <w:pPr>
        <w:pStyle w:val="ListBullet"/>
      </w:pPr>
      <w:r>
        <w:rPr>
          <w:rFonts w:ascii="Calibri" w:hAnsi="Calibri"/>
          <w:color w:val="20262E"/>
        </w:rPr>
        <w:t>A standardized 2-second response window after the eye-opening transient.</w:t>
      </w:r>
    </w:p>
    <w:p>
      <w:pPr>
        <w:pStyle w:val="ListBullet"/>
      </w:pPr>
      <w:r>
        <w:rPr>
          <w:rFonts w:ascii="Calibri" w:hAnsi="Calibri"/>
          <w:color w:val="20262E"/>
        </w:rPr>
        <w:t>Periodic and aperiodic spectral parameterization, spectral entropy, stimulus/harmonic entrainment, HFD complexity, and spatial gradients.</w:t>
      </w:r>
    </w:p>
    <w:p>
      <w:pPr>
        <w:pStyle w:val="ListBullet"/>
      </w:pPr>
      <w:r>
        <w:rPr>
          <w:rFonts w:ascii="Calibri" w:hAnsi="Calibri"/>
          <w:color w:val="20262E"/>
        </w:rPr>
        <w:t>Participant-level leakage controls.</w:t>
      </w:r>
    </w:p>
    <w:p>
      <w:pPr>
        <w:pStyle w:val="ListBullet"/>
      </w:pPr>
      <w:r>
        <w:rPr>
          <w:rFonts w:ascii="Calibri" w:hAnsi="Calibri"/>
          <w:color w:val="20262E"/>
        </w:rPr>
        <w:t>Ten repeats of five-fold outer validation, with four-fold tuning restricted to each training set.</w:t>
      </w:r>
    </w:p>
    <w:p>
      <w:pPr>
        <w:pStyle w:val="ListBullet"/>
      </w:pPr>
      <w:r>
        <w:rPr>
          <w:rFonts w:ascii="Calibri" w:hAnsi="Calibri"/>
          <w:color w:val="20262E"/>
        </w:rPr>
        <w:t>Five thousand participant-stratified bootstrap resamples.</w:t>
      </w:r>
    </w:p>
    <w:p>
      <w:pPr>
        <w:pStyle w:val="ListBullet"/>
      </w:pPr>
      <w:r>
        <w:rPr>
          <w:rFonts w:ascii="Calibri" w:hAnsi="Calibri"/>
          <w:color w:val="20262E"/>
        </w:rPr>
        <w:t>Reproducible code, held-out probabilities, tuning records, feature-selection frequencies, tables, and figures in a GitHub repository.</w:t>
      </w:r>
    </w:p>
    <w:p>
      <w:pPr>
        <w:pStyle w:val="Heading1"/>
      </w:pPr>
      <w:r>
        <w:t>Preliminary result</w:t>
      </w:r>
    </w:p>
    <w:p>
      <w:r>
        <w:rPr>
          <w:rFonts w:ascii="Calibri" w:hAnsi="Calibri"/>
          <w:color w:val="20262E"/>
        </w:rPr>
        <w:t>The paired analysis included 87 participants: 35 AD, 23 FTD, and 29 CN.</w:t>
      </w:r>
    </w:p>
    <w:tbl>
      <w:tblPr>
        <w:tblStyle w:val="TableGrid"/>
        <w:tblW w:type="dxa" w:w="9360"/>
        <w:jc w:val="center"/>
        <w:tblLayout w:type="fixed"/>
        <w:tblLook w:firstColumn="1" w:firstRow="1" w:lastColumn="0" w:lastRow="0" w:noHBand="0" w:noVBand="1" w:val="04A0"/>
        <w:tblInd w:w="120" w:type="dxa"/>
      </w:tblPr>
      <w:tblGrid>
        <w:gridCol w:w="2200"/>
        <w:gridCol w:w="1432"/>
        <w:gridCol w:w="1432"/>
        <w:gridCol w:w="1432"/>
        <w:gridCol w:w="1432"/>
        <w:gridCol w:w="1432"/>
      </w:tblGrid>
      <w:tr>
        <w:trPr>
          <w:cantSplit/>
          <w:tblHeader w:val="true"/>
        </w:trPr>
        <w:tc>
          <w:tcPr>
            <w:tcW w:type="dxa" w:w="2200"/>
            <w:tcMar>
              <w:top w:w="80" w:type="dxa"/>
              <w:bottom w:w="80" w:type="dxa"/>
              <w:start w:w="120" w:type="dxa"/>
              <w:end w:w="120" w:type="dxa"/>
            </w:tcMar>
            <w:vAlign w:val="center"/>
            <w:shd w:fill="F2F4F7"/>
          </w:tcPr>
          <w:p>
            <w:pPr>
              <w:spacing w:after="0" w:line="240" w:lineRule="auto"/>
              <w:jc w:val="left"/>
            </w:pPr>
            <w:r>
              <w:rPr>
                <w:rFonts w:ascii="Calibri" w:hAnsi="Calibri"/>
                <w:b/>
                <w:color w:val="20262E"/>
                <w:sz w:val="17"/>
              </w:rPr>
              <w:t>Model</w:t>
            </w:r>
          </w:p>
        </w:tc>
        <w:tc>
          <w:tcPr>
            <w:tcW w:type="dxa" w:w="1432"/>
            <w:tcMar>
              <w:top w:w="80" w:type="dxa"/>
              <w:bottom w:w="80" w:type="dxa"/>
              <w:start w:w="120" w:type="dxa"/>
              <w:end w:w="120" w:type="dxa"/>
            </w:tcMar>
            <w:vAlign w:val="center"/>
            <w:shd w:fill="F2F4F7"/>
          </w:tcPr>
          <w:p>
            <w:pPr>
              <w:spacing w:after="0" w:line="240" w:lineRule="auto"/>
              <w:jc w:val="center"/>
            </w:pPr>
            <w:r>
              <w:rPr>
                <w:rFonts w:ascii="Calibri" w:hAnsi="Calibri"/>
                <w:b/>
                <w:color w:val="20262E"/>
                <w:sz w:val="17"/>
              </w:rPr>
              <w:t>Macro AUC</w:t>
            </w:r>
          </w:p>
        </w:tc>
        <w:tc>
          <w:tcPr>
            <w:tcW w:type="dxa" w:w="1432"/>
            <w:tcMar>
              <w:top w:w="80" w:type="dxa"/>
              <w:bottom w:w="80" w:type="dxa"/>
              <w:start w:w="120" w:type="dxa"/>
              <w:end w:w="120" w:type="dxa"/>
            </w:tcMar>
            <w:vAlign w:val="center"/>
            <w:shd w:fill="F2F4F7"/>
          </w:tcPr>
          <w:p>
            <w:pPr>
              <w:spacing w:after="0" w:line="240" w:lineRule="auto"/>
              <w:jc w:val="center"/>
            </w:pPr>
            <w:r>
              <w:rPr>
                <w:rFonts w:ascii="Calibri" w:hAnsi="Calibri"/>
                <w:b/>
                <w:color w:val="20262E"/>
                <w:sz w:val="17"/>
              </w:rPr>
              <w:t>AD AUC</w:t>
            </w:r>
          </w:p>
        </w:tc>
        <w:tc>
          <w:tcPr>
            <w:tcW w:type="dxa" w:w="1432"/>
            <w:tcMar>
              <w:top w:w="80" w:type="dxa"/>
              <w:bottom w:w="80" w:type="dxa"/>
              <w:start w:w="120" w:type="dxa"/>
              <w:end w:w="120" w:type="dxa"/>
            </w:tcMar>
            <w:vAlign w:val="center"/>
            <w:shd w:fill="F2F4F7"/>
          </w:tcPr>
          <w:p>
            <w:pPr>
              <w:spacing w:after="0" w:line="240" w:lineRule="auto"/>
              <w:jc w:val="center"/>
            </w:pPr>
            <w:r>
              <w:rPr>
                <w:rFonts w:ascii="Calibri" w:hAnsi="Calibri"/>
                <w:b/>
                <w:color w:val="20262E"/>
                <w:sz w:val="17"/>
              </w:rPr>
              <w:t>CN AUC</w:t>
            </w:r>
          </w:p>
        </w:tc>
        <w:tc>
          <w:tcPr>
            <w:tcW w:type="dxa" w:w="1432"/>
            <w:tcMar>
              <w:top w:w="80" w:type="dxa"/>
              <w:bottom w:w="80" w:type="dxa"/>
              <w:start w:w="120" w:type="dxa"/>
              <w:end w:w="120" w:type="dxa"/>
            </w:tcMar>
            <w:vAlign w:val="center"/>
            <w:shd w:fill="F2F4F7"/>
          </w:tcPr>
          <w:p>
            <w:pPr>
              <w:spacing w:after="0" w:line="240" w:lineRule="auto"/>
              <w:jc w:val="center"/>
            </w:pPr>
            <w:r>
              <w:rPr>
                <w:rFonts w:ascii="Calibri" w:hAnsi="Calibri"/>
                <w:b/>
                <w:color w:val="20262E"/>
                <w:sz w:val="17"/>
              </w:rPr>
              <w:t>FTD AUC</w:t>
            </w:r>
          </w:p>
        </w:tc>
        <w:tc>
          <w:tcPr>
            <w:tcW w:type="dxa" w:w="1432"/>
            <w:tcMar>
              <w:top w:w="80" w:type="dxa"/>
              <w:bottom w:w="80" w:type="dxa"/>
              <w:start w:w="120" w:type="dxa"/>
              <w:end w:w="120" w:type="dxa"/>
            </w:tcMar>
            <w:vAlign w:val="center"/>
            <w:shd w:fill="F2F4F7"/>
          </w:tcPr>
          <w:p>
            <w:pPr>
              <w:spacing w:after="0" w:line="240" w:lineRule="auto"/>
              <w:jc w:val="center"/>
            </w:pPr>
            <w:r>
              <w:rPr>
                <w:rFonts w:ascii="Calibri" w:hAnsi="Calibri"/>
                <w:b/>
                <w:color w:val="20262E"/>
                <w:sz w:val="17"/>
              </w:rPr>
              <w:t>Balanced accuracy</w:t>
            </w:r>
          </w:p>
        </w:tc>
      </w:tr>
      <w:tr>
        <w:trPr>
          <w:cantSplit/>
        </w:trPr>
        <w:tc>
          <w:tcPr>
            <w:tcW w:type="dxa" w:w="2200"/>
            <w:tcMar>
              <w:top w:w="80" w:type="dxa"/>
              <w:bottom w:w="80" w:type="dxa"/>
              <w:start w:w="120" w:type="dxa"/>
              <w:end w:w="120" w:type="dxa"/>
            </w:tcMar>
            <w:vAlign w:val="center"/>
            <w:shd w:fill="FFFFFF"/>
          </w:tcPr>
          <w:p>
            <w:pPr>
              <w:spacing w:after="0" w:line="240" w:lineRule="auto"/>
              <w:jc w:val="left"/>
            </w:pPr>
            <w:r>
              <w:rPr>
                <w:rFonts w:ascii="Calibri" w:hAnsi="Calibri"/>
                <w:color w:val="20262E"/>
                <w:sz w:val="17"/>
              </w:rPr>
              <w:t>Resting EEG only</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0.663</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0.741</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0.798</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0.451</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0.514</w:t>
            </w:r>
          </w:p>
        </w:tc>
      </w:tr>
      <w:tr>
        <w:trPr>
          <w:cantSplit/>
        </w:trPr>
        <w:tc>
          <w:tcPr>
            <w:tcW w:type="dxa" w:w="2200"/>
            <w:tcMar>
              <w:top w:w="80" w:type="dxa"/>
              <w:bottom w:w="80" w:type="dxa"/>
              <w:start w:w="120" w:type="dxa"/>
              <w:end w:w="120" w:type="dxa"/>
            </w:tcMar>
            <w:vAlign w:val="center"/>
            <w:shd w:fill="FFFFFF"/>
          </w:tcPr>
          <w:p>
            <w:pPr>
              <w:spacing w:after="0" w:line="240" w:lineRule="auto"/>
              <w:jc w:val="left"/>
            </w:pPr>
            <w:r>
              <w:rPr>
                <w:rFonts w:ascii="Calibri" w:hAnsi="Calibri"/>
                <w:color w:val="20262E"/>
                <w:sz w:val="17"/>
              </w:rPr>
              <w:t>Paired direct model</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0.724</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0.753</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0.907</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0.512</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0.546</w:t>
            </w:r>
          </w:p>
        </w:tc>
      </w:tr>
      <w:tr>
        <w:trPr>
          <w:cantSplit/>
        </w:trPr>
        <w:tc>
          <w:tcPr>
            <w:tcW w:type="dxa" w:w="2200"/>
            <w:tcMar>
              <w:top w:w="80" w:type="dxa"/>
              <w:bottom w:w="80" w:type="dxa"/>
              <w:start w:w="120" w:type="dxa"/>
              <w:end w:w="120" w:type="dxa"/>
            </w:tcMar>
            <w:vAlign w:val="center"/>
            <w:shd w:fill="FFFFFF"/>
          </w:tcPr>
          <w:p>
            <w:pPr>
              <w:spacing w:after="0" w:line="240" w:lineRule="auto"/>
              <w:jc w:val="left"/>
            </w:pPr>
            <w:r>
              <w:rPr>
                <w:rFonts w:ascii="Calibri" w:hAnsi="Calibri"/>
                <w:color w:val="20262E"/>
                <w:sz w:val="17"/>
              </w:rPr>
              <w:t>Paired two-stage model</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b/>
                <w:color w:val="20262E"/>
                <w:sz w:val="17"/>
              </w:rPr>
              <w:t>0.777</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b/>
                <w:color w:val="20262E"/>
                <w:sz w:val="17"/>
              </w:rPr>
              <w:t>0.804</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b/>
                <w:color w:val="20262E"/>
                <w:sz w:val="17"/>
              </w:rPr>
              <w:t>0.914</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b/>
                <w:color w:val="20262E"/>
                <w:sz w:val="17"/>
              </w:rPr>
              <w:t>0.611</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0.578</w:t>
            </w:r>
          </w:p>
        </w:tc>
      </w:tr>
      <w:tr>
        <w:trPr>
          <w:cantSplit/>
        </w:trPr>
        <w:tc>
          <w:tcPr>
            <w:tcW w:type="dxa" w:w="2200"/>
            <w:tcMar>
              <w:top w:w="80" w:type="dxa"/>
              <w:bottom w:w="80" w:type="dxa"/>
              <w:start w:w="120" w:type="dxa"/>
              <w:end w:w="120" w:type="dxa"/>
            </w:tcMar>
            <w:vAlign w:val="center"/>
            <w:shd w:fill="FFFFFF"/>
          </w:tcPr>
          <w:p>
            <w:pPr>
              <w:spacing w:after="0" w:line="240" w:lineRule="auto"/>
              <w:jc w:val="left"/>
            </w:pPr>
            <w:r>
              <w:rPr>
                <w:rFonts w:ascii="Calibri" w:hAnsi="Calibri"/>
                <w:color w:val="20262E"/>
                <w:sz w:val="17"/>
              </w:rPr>
              <w:t>Paired hybrid model</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0.753</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0.781</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0.914</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color w:val="20262E"/>
                <w:sz w:val="17"/>
              </w:rPr>
              <w:t>0.563</w:t>
            </w:r>
          </w:p>
        </w:tc>
        <w:tc>
          <w:tcPr>
            <w:tcW w:type="dxa" w:w="1432"/>
            <w:tcMar>
              <w:top w:w="80" w:type="dxa"/>
              <w:bottom w:w="80" w:type="dxa"/>
              <w:start w:w="120" w:type="dxa"/>
              <w:end w:w="120" w:type="dxa"/>
            </w:tcMar>
            <w:vAlign w:val="center"/>
            <w:shd w:fill="FFFFFF"/>
          </w:tcPr>
          <w:p>
            <w:pPr>
              <w:spacing w:after="0" w:line="240" w:lineRule="auto"/>
              <w:jc w:val="center"/>
            </w:pPr>
            <w:r>
              <w:rPr>
                <w:rFonts w:ascii="Calibri" w:hAnsi="Calibri"/>
                <w:b/>
                <w:color w:val="20262E"/>
                <w:sz w:val="17"/>
              </w:rPr>
              <w:t>0.610</w:t>
            </w:r>
          </w:p>
        </w:tc>
      </w:tr>
    </w:tbl>
    <w:p>
      <w:pPr>
        <w:spacing w:after="0"/>
      </w:pPr>
    </w:p>
    <w:p>
      <w:pPr>
        <w:spacing w:before="160" w:after="60"/>
        <w:jc w:val="center"/>
      </w:pPr>
      <w:r>
        <w:drawing>
          <wp:inline xmlns:a="http://schemas.openxmlformats.org/drawingml/2006/main" xmlns:pic="http://schemas.openxmlformats.org/drawingml/2006/picture">
            <wp:extent cx="5897880" cy="2452510"/>
            <wp:docPr id="1" name="Picture 1" descr="Overall and class-specific ROC-AUC for resting, paired direct, two-stage, and hybrid models"/>
            <wp:cNvGraphicFramePr>
              <a:graphicFrameLocks noChangeAspect="1"/>
            </wp:cNvGraphicFramePr>
            <a:graphic>
              <a:graphicData uri="http://schemas.openxmlformats.org/drawingml/2006/picture">
                <pic:pic>
                  <pic:nvPicPr>
                    <pic:cNvPr id="0" name="figure_paired_response_results.png"/>
                    <pic:cNvPicPr/>
                  </pic:nvPicPr>
                  <pic:blipFill>
                    <a:blip r:embed="rId11"/>
                    <a:stretch>
                      <a:fillRect/>
                    </a:stretch>
                  </pic:blipFill>
                  <pic:spPr>
                    <a:xfrm>
                      <a:off x="0" y="0"/>
                      <a:ext cx="5897880" cy="2452510"/>
                    </a:xfrm>
                    <a:prstGeom prst="rect"/>
                  </pic:spPr>
                </pic:pic>
              </a:graphicData>
            </a:graphic>
          </wp:inline>
        </w:drawing>
      </w:r>
    </w:p>
    <w:p>
      <w:pPr>
        <w:pStyle w:val="Caption"/>
        <w:jc w:val="left"/>
      </w:pPr>
      <w:r>
        <w:rPr>
          <w:rFonts w:ascii="Calibri" w:hAnsi="Calibri"/>
          <w:b/>
          <w:color w:val="5F6B76"/>
          <w:sz w:val="18"/>
        </w:rPr>
        <w:t>Figure 1. Repeated participant-level validation.</w:t>
      </w:r>
      <w:r>
        <w:rPr>
          <w:rFonts w:ascii="Calibri" w:hAnsi="Calibri"/>
          <w:color w:val="5F6B76"/>
          <w:sz w:val="18"/>
        </w:rPr>
        <w:t xml:space="preserve"> Error bars show 95% participant bootstrap intervals for macro AUC; class-specific bars show one-versus-rest AUC.</w:t>
      </w:r>
    </w:p>
    <w:p>
      <w:r>
        <w:rPr>
          <w:rFonts w:ascii="Calibri" w:hAnsi="Calibri"/>
          <w:color w:val="20262E"/>
        </w:rPr>
        <w:t>For the selected two-stage model, macro AUC was 0.777 (95% CI 0.723-0.829). The improvement over resting was +0.113 (95% paired CI +0.035 to +0.191). FTD AUC improved by +0.160, but its paired CI was -0.012 to +0.330. The overall gain is supported; the FTD-specific gain remains uncertain.</w:t>
      </w:r>
    </w:p>
    <w:p>
      <w:r>
        <w:rPr>
          <w:rFonts w:ascii="Calibri" w:hAnsi="Calibri"/>
          <w:color w:val="20262E"/>
        </w:rPr>
        <w:t>The default decision threshold identified only 13% of FTD participants correctly. That is the most important current weakness. AUC shows improved ranking, but the operating threshold is not clinically acceptable.</w:t>
      </w:r>
    </w:p>
    <w:p>
      <w:pPr>
        <w:pStyle w:val="Heading1"/>
      </w:pPr>
      <w:r>
        <w:t>Is it novel?</w:t>
      </w:r>
    </w:p>
    <w:p>
      <w:r>
        <w:rPr>
          <w:rFonts w:ascii="Calibri" w:hAnsi="Calibri"/>
          <w:color w:val="20262E"/>
        </w:rPr>
        <w:t>The individual ingredients are not new. Spectral parameterization, HFD, photic driving, SVMs, and two-stage classification all exist. The candidate novelty is their specific organization:</w:t>
      </w:r>
    </w:p>
    <w:p>
      <w:pPr>
        <w:pStyle w:val="ListBullet"/>
      </w:pPr>
      <w:r>
        <w:rPr>
          <w:rFonts w:ascii="Calibri" w:hAnsi="Calibri"/>
          <w:color w:val="20262E"/>
        </w:rPr>
        <w:t>a resting trait plus a frequency-resolved perturbation fingerprint;</w:t>
      </w:r>
    </w:p>
    <w:p>
      <w:pPr>
        <w:pStyle w:val="ListBullet"/>
      </w:pPr>
      <w:r>
        <w:rPr>
          <w:rFonts w:ascii="Calibri" w:hAnsi="Calibri"/>
          <w:color w:val="20262E"/>
        </w:rPr>
        <w:t>explicit separation of periodic and aperiodic activity;</w:t>
      </w:r>
    </w:p>
    <w:p>
      <w:pPr>
        <w:pStyle w:val="ListBullet"/>
      </w:pPr>
      <w:r>
        <w:rPr>
          <w:rFonts w:ascii="Calibri" w:hAnsi="Calibri"/>
          <w:color w:val="20262E"/>
        </w:rPr>
        <w:t>rostrocaudal and channel-level response topography;</w:t>
      </w:r>
    </w:p>
    <w:p>
      <w:pPr>
        <w:pStyle w:val="ListBullet"/>
      </w:pPr>
      <w:r>
        <w:rPr>
          <w:rFonts w:ascii="Calibri" w:hAnsi="Calibri"/>
          <w:color w:val="20262E"/>
        </w:rPr>
        <w:t>separate dementia-screening and AD/FTD-subtyping heads;</w:t>
      </w:r>
    </w:p>
    <w:p>
      <w:pPr>
        <w:pStyle w:val="ListBullet"/>
      </w:pPr>
      <w:r>
        <w:rPr>
          <w:rFonts w:ascii="Calibri" w:hAnsi="Calibri"/>
          <w:color w:val="20262E"/>
        </w:rPr>
        <w:t>repeated subject-level nested validation with no demographic predictors;</w:t>
      </w:r>
    </w:p>
    <w:p>
      <w:pPr>
        <w:pStyle w:val="ListBullet"/>
      </w:pPr>
      <w:r>
        <w:rPr>
          <w:rFonts w:ascii="Calibri" w:hAnsi="Calibri"/>
          <w:color w:val="20262E"/>
        </w:rPr>
        <w:t>a planned external transportability test rather than another internal-only accuracy report.</w:t>
      </w:r>
    </w:p>
    <w:p>
      <w:r>
        <w:rPr>
          <w:rFonts w:ascii="Calibri" w:hAnsi="Calibri"/>
          <w:color w:val="20262E"/>
        </w:rPr>
        <w:t>A focused literature search did not identify a published AD/FTD/CN model with this exact design. The defensible wording is "to our knowledge" until a formal systematic review is completed.</w:t>
      </w:r>
    </w:p>
    <w:p>
      <w:pPr>
        <w:pStyle w:val="Heading1"/>
      </w:pPr>
      <w:r>
        <w:t>Does it beat the current best paper?</w:t>
      </w:r>
    </w:p>
    <w:p>
      <w:r>
        <w:rPr>
          <w:rFonts w:ascii="Calibri" w:hAnsi="Calibri"/>
          <w:color w:val="20262E"/>
        </w:rPr>
        <w:t>No. A June 2026 Scientific Reports paper reported macro AUC 0.99 and 87.5% accuracy using AutoSSM-ICA-EEG on the photic benchmark. A Coherence-CNN paper reported 94.32% three-class accuracy. Our current internal result is lower.</w:t>
      </w:r>
    </w:p>
    <w:p>
      <w:r>
        <w:rPr>
          <w:rFonts w:ascii="Calibri" w:hAnsi="Calibri"/>
          <w:color w:val="20262E"/>
        </w:rPr>
        <w:t>That does not make the study unpublishable. A strict 2026 functional-connectivity study found AD-versus-FTD discrimination remained difficult and warned that epoch-level or fixed-split validation can overestimate performance. A 2026 scoping review of 46 AHEPA studies found that reported accuracy falls as validation rigor increases. Our paper should compete on a novel perturbational mechanism, transparent uncertainty, and independent transportability, not on an unsupported state-of-the-art claim.</w:t>
      </w:r>
    </w:p>
    <w:p>
      <w:pPr>
        <w:pStyle w:val="Heading1"/>
      </w:pPr>
      <w:r>
        <w:t>The confirmatory study I propose</w:t>
      </w:r>
    </w:p>
    <w:p>
      <w:pPr>
        <w:pStyle w:val="Heading2"/>
      </w:pPr>
      <w:r>
        <w:t>Design</w:t>
      </w:r>
    </w:p>
    <w:p>
      <w:r>
        <w:rPr>
          <w:rFonts w:ascii="Calibri" w:hAnsi="Calibri"/>
          <w:color w:val="20262E"/>
        </w:rPr>
        <w:t>Prospective or retrospective multisite validation with three diagnostic groups. Every participant contributes one eyes-closed resting EEG and one standardized open-eye photic recording containing 5, 10, 15, and 20 Hz stimulation. Clinical diagnosis must be assigned independently of the study EEG model.</w:t>
      </w:r>
    </w:p>
    <w:p>
      <w:pPr>
        <w:pStyle w:val="Heading2"/>
      </w:pPr>
      <w:r>
        <w:t>Target cohort</w:t>
      </w:r>
    </w:p>
    <w:p>
      <w:r>
        <w:rPr>
          <w:rFonts w:ascii="Calibri" w:hAnsi="Calibri"/>
          <w:color w:val="20262E"/>
        </w:rPr>
        <w:t>Target 240 participants, approximately 80 per group, with a minimum viable cohort of 180, approximately 60 per group. Recruit from at least two sites and reserve one complete site as the external test set where feasible. Final sample size will be confirmed statistically before registration, without inspecting test outcomes.</w:t>
      </w:r>
    </w:p>
    <w:p>
      <w:r>
        <w:br w:type="page"/>
      </w:r>
    </w:p>
    <w:p>
      <w:pPr>
        <w:pStyle w:val="Heading2"/>
      </w:pPr>
      <w:r>
        <w:t>Locked model before test labels are opened</w:t>
      </w:r>
    </w:p>
    <w:p>
      <w:pPr>
        <w:pStyle w:val="ListNumber"/>
        <w:numPr>
          <w:ilvl w:val="0"/>
          <w:numId w:val="10"/>
        </w:numPr>
      </w:pPr>
      <w:r>
        <w:rPr>
          <w:rFonts w:ascii="Calibri" w:hAnsi="Calibri"/>
          <w:color w:val="20262E"/>
        </w:rPr>
        <w:t>Reduce the development model to the most stable resting and photic features.</w:t>
      </w:r>
    </w:p>
    <w:p>
      <w:pPr>
        <w:pStyle w:val="ListNumber"/>
        <w:numPr>
          <w:ilvl w:val="0"/>
          <w:numId w:val="10"/>
        </w:numPr>
      </w:pPr>
      <w:r>
        <w:rPr>
          <w:rFonts w:ascii="Calibri" w:hAnsi="Calibri"/>
          <w:color w:val="20262E"/>
        </w:rPr>
        <w:t>Freeze preprocessing, missing-data rules, feature count, model family, probability calibration, and class thresholds.</w:t>
      </w:r>
    </w:p>
    <w:p>
      <w:pPr>
        <w:pStyle w:val="ListNumber"/>
        <w:numPr>
          <w:ilvl w:val="0"/>
          <w:numId w:val="10"/>
        </w:numPr>
      </w:pPr>
      <w:r>
        <w:rPr>
          <w:rFonts w:ascii="Calibri" w:hAnsi="Calibri"/>
          <w:color w:val="20262E"/>
        </w:rPr>
        <w:t>Publish a timestamped protocol and code version.</w:t>
      </w:r>
    </w:p>
    <w:p>
      <w:pPr>
        <w:pStyle w:val="ListNumber"/>
        <w:numPr>
          <w:ilvl w:val="0"/>
          <w:numId w:val="10"/>
        </w:numPr>
      </w:pPr>
      <w:r>
        <w:rPr>
          <w:rFonts w:ascii="Calibri" w:hAnsi="Calibri"/>
          <w:color w:val="20262E"/>
        </w:rPr>
        <w:t>Fit only on the development cohort.</w:t>
      </w:r>
    </w:p>
    <w:p>
      <w:pPr>
        <w:pStyle w:val="ListNumber"/>
        <w:numPr>
          <w:ilvl w:val="0"/>
          <w:numId w:val="10"/>
        </w:numPr>
      </w:pPr>
      <w:r>
        <w:rPr>
          <w:rFonts w:ascii="Calibri" w:hAnsi="Calibri"/>
          <w:color w:val="20262E"/>
        </w:rPr>
        <w:t>Run the external cohort once with no model amendment.</w:t>
      </w:r>
    </w:p>
    <w:p>
      <w:pPr>
        <w:pStyle w:val="Heading2"/>
      </w:pPr>
      <w:r>
        <w:t>Primary endpoint</w:t>
      </w:r>
    </w:p>
    <w:p>
      <w:r>
        <w:rPr>
          <w:rFonts w:ascii="Calibri" w:hAnsi="Calibri"/>
          <w:color w:val="20262E"/>
        </w:rPr>
        <w:t>Participant-level macro one-versus-rest ROC-AUC for AD/FTD/CN in the external cohort. The primary success criterion is a paired improvement over the locked resting-only comparator with a 95% confidence interval excluding zero.</w:t>
      </w:r>
    </w:p>
    <w:p>
      <w:pPr>
        <w:pStyle w:val="Heading2"/>
      </w:pPr>
      <w:r>
        <w:t>Key secondary endpoints</w:t>
      </w:r>
    </w:p>
    <w:p>
      <w:pPr>
        <w:pStyle w:val="ListBullet"/>
      </w:pPr>
      <w:r>
        <w:rPr>
          <w:rFonts w:ascii="Calibri" w:hAnsi="Calibri"/>
          <w:color w:val="20262E"/>
        </w:rPr>
        <w:t>FTD one-versus-rest AUC and its paired difference from resting.</w:t>
      </w:r>
    </w:p>
    <w:p>
      <w:pPr>
        <w:pStyle w:val="ListBullet"/>
      </w:pPr>
      <w:r>
        <w:rPr>
          <w:rFonts w:ascii="Calibri" w:hAnsi="Calibri"/>
          <w:color w:val="20262E"/>
        </w:rPr>
        <w:t>Per-class sensitivity and specificity at frozen thresholds.</w:t>
      </w:r>
    </w:p>
    <w:p>
      <w:pPr>
        <w:pStyle w:val="ListBullet"/>
      </w:pPr>
      <w:r>
        <w:rPr>
          <w:rFonts w:ascii="Calibri" w:hAnsi="Calibri"/>
          <w:color w:val="20262E"/>
        </w:rPr>
        <w:t>Calibration intercept, calibration slope, and Brier score.</w:t>
      </w:r>
    </w:p>
    <w:p>
      <w:pPr>
        <w:pStyle w:val="ListBullet"/>
      </w:pPr>
      <w:r>
        <w:rPr>
          <w:rFonts w:ascii="Calibri" w:hAnsi="Calibri"/>
          <w:color w:val="20262E"/>
        </w:rPr>
        <w:t>Site, age, sex, recording-system, and disease-severity subgroup performance.</w:t>
      </w:r>
    </w:p>
    <w:p>
      <w:pPr>
        <w:pStyle w:val="ListBullet"/>
      </w:pPr>
      <w:r>
        <w:rPr>
          <w:rFonts w:ascii="Calibri" w:hAnsi="Calibri"/>
          <w:color w:val="20262E"/>
        </w:rPr>
        <w:t>Performance when only the common 19 routine EEG channels are available.</w:t>
      </w:r>
    </w:p>
    <w:p>
      <w:pPr>
        <w:pStyle w:val="Heading2"/>
      </w:pPr>
      <w:r>
        <w:t>Failure is still informative</w:t>
      </w:r>
    </w:p>
    <w:p>
      <w:r>
        <w:rPr>
          <w:rFonts w:ascii="Calibri" w:hAnsi="Calibri"/>
          <w:color w:val="20262E"/>
        </w:rPr>
        <w:t>If the paired model does not transport, the study becomes a rigorous negative transportability result showing which photic-response features are cohort- or site-specific. The analysis and paper remain useful because the protocol is locked before external testing.</w:t>
      </w:r>
    </w:p>
    <w:p>
      <w:pPr>
        <w:pStyle w:val="Heading1"/>
      </w:pPr>
      <w:r>
        <w:t>Exactly what I need from Ed</w:t>
      </w:r>
    </w:p>
    <w:p>
      <w:pPr>
        <w:pStyle w:val="ListNumber"/>
        <w:numPr>
          <w:ilvl w:val="0"/>
          <w:numId w:val="11"/>
        </w:numPr>
      </w:pPr>
      <w:r>
        <w:rPr>
          <w:rFonts w:ascii="Calibri" w:hAnsi="Calibri"/>
          <w:color w:val="20262E"/>
        </w:rPr>
        <w:t>Approval to proceed with this as a university-affiliated confirmatory study.</w:t>
      </w:r>
    </w:p>
    <w:p>
      <w:pPr>
        <w:pStyle w:val="ListNumber"/>
        <w:numPr>
          <w:ilvl w:val="0"/>
          <w:numId w:val="11"/>
        </w:numPr>
      </w:pPr>
      <w:r>
        <w:rPr>
          <w:rFonts w:ascii="Calibri" w:hAnsi="Calibri"/>
          <w:color w:val="20262E"/>
        </w:rPr>
        <w:t>Faculty sponsorship for the protocol and data-access process.</w:t>
      </w:r>
    </w:p>
    <w:p>
      <w:pPr>
        <w:pStyle w:val="ListNumber"/>
        <w:numPr>
          <w:ilvl w:val="0"/>
          <w:numId w:val="11"/>
        </w:numPr>
      </w:pPr>
      <w:r>
        <w:rPr>
          <w:rFonts w:ascii="Calibri" w:hAnsi="Calibri"/>
          <w:color w:val="20262E"/>
        </w:rPr>
        <w:t>Institutional determination of IRB, exempt-status, or data-use requirements.</w:t>
      </w:r>
    </w:p>
    <w:p>
      <w:pPr>
        <w:pStyle w:val="ListNumber"/>
        <w:numPr>
          <w:ilvl w:val="0"/>
          <w:numId w:val="11"/>
        </w:numPr>
      </w:pPr>
      <w:r>
        <w:rPr>
          <w:rFonts w:ascii="Calibri" w:hAnsi="Calibri"/>
          <w:color w:val="20262E"/>
        </w:rPr>
        <w:t>Introduction to a clinical collaborator or data source with independent AD, FTD, and CN EEG, ideally including the standardized photic protocol.</w:t>
      </w:r>
    </w:p>
    <w:p>
      <w:pPr>
        <w:pStyle w:val="ListNumber"/>
        <w:numPr>
          <w:ilvl w:val="0"/>
          <w:numId w:val="11"/>
        </w:numPr>
      </w:pPr>
      <w:r>
        <w:rPr>
          <w:rFonts w:ascii="Calibri" w:hAnsi="Calibri"/>
          <w:color w:val="20262E"/>
        </w:rPr>
        <w:t>Permission to prepare the preregistration and grant/data-access materials under the university affiliation.</w:t>
      </w:r>
    </w:p>
    <w:p>
      <w:r>
        <w:rPr>
          <w:rFonts w:ascii="Calibri" w:hAnsi="Calibri"/>
          <w:color w:val="20262E"/>
        </w:rPr>
        <w:t>I am not asking him to invent the research question or redesign the analysis. I am bringing a completed exploratory result and a specific confirmatory plan for approval and institutional execution.</w:t>
      </w:r>
    </w:p>
    <w:p>
      <w:r>
        <w:br w:type="page"/>
      </w:r>
    </w:p>
    <w:p>
      <w:pPr>
        <w:pStyle w:val="Heading1"/>
      </w:pPr>
      <w:r>
        <w:t>Likely questions and concise answers</w:t>
      </w:r>
    </w:p>
    <w:p>
      <w:pPr>
        <w:pStyle w:val="Heading2"/>
      </w:pPr>
      <w:r>
        <w:t>Why photic stimulation?</w:t>
      </w:r>
    </w:p>
    <w:p>
      <w:r>
        <w:rPr>
          <w:rFonts w:ascii="Calibri" w:hAnsi="Calibri"/>
          <w:color w:val="20262E"/>
        </w:rPr>
        <w:t>Resting EEG measures a trait. Photic stimulation adds a controlled stress test of the system: how strongly, where, and at what frequencies the cortex follows the drive. AD and FTD may have overlapping resting abnormalities but different network response profiles.</w:t>
      </w:r>
    </w:p>
    <w:p>
      <w:pPr>
        <w:pStyle w:val="Heading2"/>
      </w:pPr>
      <w:r>
        <w:t>What is spectral parameterization?</w:t>
      </w:r>
    </w:p>
    <w:p>
      <w:r>
        <w:rPr>
          <w:rFonts w:ascii="Calibri" w:hAnsi="Calibri"/>
          <w:color w:val="20262E"/>
        </w:rPr>
        <w:t>An EEG power spectrum contains oscillatory peaks sitting on a broadband background. Spectral parameterization separates the periodic peaks from the aperiodic background, so apparent band-power changes are not automatically treated as true oscillatory changes.</w:t>
      </w:r>
    </w:p>
    <w:p>
      <w:pPr>
        <w:pStyle w:val="Heading2"/>
      </w:pPr>
      <w:r>
        <w:t>Why a small model instead of a large neural network?</w:t>
      </w:r>
    </w:p>
    <w:p>
      <w:r>
        <w:rPr>
          <w:rFonts w:ascii="Calibri" w:hAnsi="Calibri"/>
          <w:color w:val="20262E"/>
        </w:rPr>
        <w:t>The cohort is small. Restricting each fitted component to at most 40 selected features and using interpretable physiological groups reduces model capacity, makes leakage controls auditable, and produces a panel that can be implemented across ordinary 19-channel EEG systems.</w:t>
      </w:r>
    </w:p>
    <w:p>
      <w:pPr>
        <w:pStyle w:val="Heading2"/>
      </w:pPr>
      <w:r>
        <w:t>Is the preliminary model clinically ready?</w:t>
      </w:r>
    </w:p>
    <w:p>
      <w:r>
        <w:rPr>
          <w:rFonts w:ascii="Calibri" w:hAnsi="Calibri"/>
          <w:color w:val="20262E"/>
        </w:rPr>
        <w:t>No. It is internally validated and improves overall AUC, but FTD sensitivity at the default threshold is poor and there is no independent paired FTD cohort yet.</w:t>
      </w:r>
    </w:p>
    <w:p>
      <w:pPr>
        <w:pStyle w:val="Heading2"/>
      </w:pPr>
      <w:r>
        <w:t>Can we say it will be universally applicable?</w:t>
      </w:r>
    </w:p>
    <w:p>
      <w:r>
        <w:rPr>
          <w:rFonts w:ascii="Calibri" w:hAnsi="Calibri"/>
          <w:color w:val="20262E"/>
        </w:rPr>
        <w:t>No. We can say the study is designed to test transportability across sites, systems, and patient groups. Universal applicability is an empirical question, not a starting claim.</w:t>
      </w:r>
    </w:p>
    <w:p>
      <w:pPr>
        <w:pStyle w:val="Heading2"/>
      </w:pPr>
      <w:r>
        <w:t>What is the publication angle?</w:t>
      </w:r>
    </w:p>
    <w:p>
      <w:r>
        <w:rPr>
          <w:rFonts w:ascii="Calibri" w:hAnsi="Calibri"/>
          <w:color w:val="20262E"/>
        </w:rPr>
        <w:t>A perturbational EEG biomarker paper with a locked external test: resting trait plus frequency-response fingerprint, explicit periodic/aperiodic decomposition, two-stage clinical architecture, and transparent comparison with a resting baseline. A successful external result supports a compact transferable marker; a failed result is a publishable transportability audit.</w:t>
      </w:r>
    </w:p>
    <w:p>
      <w:pPr>
        <w:pStyle w:val="Heading1"/>
      </w:pPr>
      <w:r>
        <w:t>Statements to avoid</w:t>
      </w:r>
    </w:p>
    <w:p>
      <w:pPr>
        <w:pStyle w:val="ListBullet"/>
      </w:pPr>
      <w:r>
        <w:rPr>
          <w:rFonts w:ascii="Calibri" w:hAnsi="Calibri"/>
          <w:color w:val="20262E"/>
        </w:rPr>
        <w:t>"We beat the current best model."</w:t>
      </w:r>
    </w:p>
    <w:p>
      <w:pPr>
        <w:pStyle w:val="ListBullet"/>
      </w:pPr>
      <w:r>
        <w:rPr>
          <w:rFonts w:ascii="Calibri" w:hAnsi="Calibri"/>
          <w:color w:val="20262E"/>
        </w:rPr>
        <w:t>"This diagnoses AD or FTD."</w:t>
      </w:r>
    </w:p>
    <w:p>
      <w:pPr>
        <w:pStyle w:val="ListBullet"/>
      </w:pPr>
      <w:r>
        <w:rPr>
          <w:rFonts w:ascii="Calibri" w:hAnsi="Calibri"/>
          <w:color w:val="20262E"/>
        </w:rPr>
        <w:t>"The model is universally applicable."</w:t>
      </w:r>
    </w:p>
    <w:p>
      <w:pPr>
        <w:pStyle w:val="ListBullet"/>
      </w:pPr>
      <w:r>
        <w:rPr>
          <w:rFonts w:ascii="Calibri" w:hAnsi="Calibri"/>
          <w:color w:val="20262E"/>
        </w:rPr>
        <w:t>"The FTD result is confirmed."</w:t>
      </w:r>
    </w:p>
    <w:p>
      <w:pPr>
        <w:pStyle w:val="ListBullet"/>
      </w:pPr>
      <w:r>
        <w:rPr>
          <w:rFonts w:ascii="Calibri" w:hAnsi="Calibri"/>
          <w:color w:val="20262E"/>
        </w:rPr>
        <w:t>"The model was independently validated."</w:t>
      </w:r>
    </w:p>
    <w:p>
      <w:r>
        <w:rPr>
          <w:rFonts w:ascii="Calibri" w:hAnsi="Calibri"/>
          <w:color w:val="20262E"/>
        </w:rPr>
        <w:t>Use instead: "The paired two-stage candidate improved overall repeated participant-level discrimination and now requires a locked independent test."</w:t>
      </w:r>
    </w:p>
    <w:p>
      <w:pPr>
        <w:pStyle w:val="Heading1"/>
      </w:pPr>
      <w:r>
        <w:t>Glossary</w:t>
      </w:r>
    </w:p>
    <w:p>
      <w:r>
        <w:rPr>
          <w:rFonts w:ascii="Calibri" w:hAnsi="Calibri"/>
          <w:b/>
          <w:color w:val="20262E"/>
        </w:rPr>
        <w:t>AD:</w:t>
      </w:r>
      <w:r>
        <w:rPr>
          <w:rFonts w:ascii="Calibri" w:hAnsi="Calibri"/>
          <w:color w:val="20262E"/>
        </w:rPr>
        <w:t xml:space="preserve"> Alzheimer disease.</w:t>
      </w:r>
    </w:p>
    <w:p>
      <w:r>
        <w:rPr>
          <w:rFonts w:ascii="Calibri" w:hAnsi="Calibri"/>
          <w:b/>
          <w:color w:val="20262E"/>
        </w:rPr>
        <w:t>FTD:</w:t>
      </w:r>
      <w:r>
        <w:rPr>
          <w:rFonts w:ascii="Calibri" w:hAnsi="Calibri"/>
          <w:color w:val="20262E"/>
        </w:rPr>
        <w:t xml:space="preserve"> Frontotemporal dementia.</w:t>
      </w:r>
    </w:p>
    <w:p>
      <w:r>
        <w:rPr>
          <w:rFonts w:ascii="Calibri" w:hAnsi="Calibri"/>
          <w:b/>
          <w:color w:val="20262E"/>
        </w:rPr>
        <w:t>CN:</w:t>
      </w:r>
      <w:r>
        <w:rPr>
          <w:rFonts w:ascii="Calibri" w:hAnsi="Calibri"/>
          <w:color w:val="20262E"/>
        </w:rPr>
        <w:t xml:space="preserve"> Cognitively normal control.</w:t>
      </w:r>
    </w:p>
    <w:p>
      <w:r>
        <w:rPr>
          <w:rFonts w:ascii="Calibri" w:hAnsi="Calibri"/>
          <w:b/>
          <w:color w:val="20262E"/>
        </w:rPr>
        <w:t>AUC:</w:t>
      </w:r>
      <w:r>
        <w:rPr>
          <w:rFonts w:ascii="Calibri" w:hAnsi="Calibri"/>
          <w:color w:val="20262E"/>
        </w:rPr>
        <w:t xml:space="preserve"> How well a model ranks a class above the alternatives across all possible thresholds; 0.5 is chance and 1.0 is perfect ranking.</w:t>
      </w:r>
    </w:p>
    <w:p>
      <w:r>
        <w:rPr>
          <w:rFonts w:ascii="Calibri" w:hAnsi="Calibri"/>
          <w:b/>
          <w:color w:val="20262E"/>
        </w:rPr>
        <w:t>Nested validation:</w:t>
      </w:r>
      <w:r>
        <w:rPr>
          <w:rFonts w:ascii="Calibri" w:hAnsi="Calibri"/>
          <w:color w:val="20262E"/>
        </w:rPr>
        <w:t xml:space="preserve"> The test fold is kept separate while model choices are made only inside the training data.</w:t>
      </w:r>
    </w:p>
    <w:p>
      <w:r>
        <w:rPr>
          <w:rFonts w:ascii="Calibri" w:hAnsi="Calibri"/>
          <w:b/>
          <w:color w:val="20262E"/>
        </w:rPr>
        <w:t>Photic driving:</w:t>
      </w:r>
      <w:r>
        <w:rPr>
          <w:rFonts w:ascii="Calibri" w:hAnsi="Calibri"/>
          <w:color w:val="20262E"/>
        </w:rPr>
        <w:t xml:space="preserve"> The EEG response to rhythmic flashes of light.</w:t>
      </w:r>
    </w:p>
    <w:p>
      <w:r>
        <w:rPr>
          <w:rFonts w:ascii="Calibri" w:hAnsi="Calibri"/>
          <w:b/>
          <w:color w:val="20262E"/>
        </w:rPr>
        <w:t>Aperiodic exponent:</w:t>
      </w:r>
      <w:r>
        <w:rPr>
          <w:rFonts w:ascii="Calibri" w:hAnsi="Calibri"/>
          <w:color w:val="20262E"/>
        </w:rPr>
        <w:t xml:space="preserve"> The slope-like background component of the EEG power spectrum after separating oscillatory peaks.</w:t>
      </w:r>
    </w:p>
    <w:p>
      <w:r>
        <w:rPr>
          <w:rFonts w:ascii="Calibri" w:hAnsi="Calibri"/>
          <w:b/>
          <w:color w:val="20262E"/>
        </w:rPr>
        <w:t>HFD:</w:t>
      </w:r>
      <w:r>
        <w:rPr>
          <w:rFonts w:ascii="Calibri" w:hAnsi="Calibri"/>
          <w:color w:val="20262E"/>
        </w:rPr>
        <w:t xml:space="preserve"> Higuchi fractal dimension, a measure of signal complexity.</w:t>
      </w:r>
    </w:p>
    <w:p>
      <w:r>
        <w:rPr>
          <w:rFonts w:ascii="Calibri" w:hAnsi="Calibri"/>
          <w:b/>
          <w:color w:val="20262E"/>
        </w:rPr>
        <w:t>Transportability:</w:t>
      </w:r>
      <w:r>
        <w:rPr>
          <w:rFonts w:ascii="Calibri" w:hAnsi="Calibri"/>
          <w:color w:val="20262E"/>
        </w:rPr>
        <w:t xml:space="preserve"> Whether performance survives a change in site, cohort, equipment, or recording conditions.</w:t>
      </w:r>
    </w:p>
    <w:p>
      <w:pPr>
        <w:pStyle w:val="Heading1"/>
      </w:pPr>
      <w:r>
        <w:t>Key references</w:t>
      </w:r>
    </w:p>
    <w:p>
      <w:pPr>
        <w:pStyle w:val="ListNumber"/>
        <w:numPr>
          <w:ilvl w:val="0"/>
          <w:numId w:val="12"/>
        </w:numPr>
      </w:pPr>
      <w:r>
        <w:rPr>
          <w:rFonts w:ascii="Calibri" w:hAnsi="Calibri"/>
          <w:color w:val="20262E"/>
        </w:rPr>
        <w:t>Saeed F, Aldera S. Scientific Reports. 2026. doi:10.1038/s41598-026-57069-1.</w:t>
      </w:r>
    </w:p>
    <w:p>
      <w:pPr>
        <w:pStyle w:val="ListNumber"/>
        <w:numPr>
          <w:ilvl w:val="0"/>
          <w:numId w:val="12"/>
        </w:numPr>
      </w:pPr>
      <w:r>
        <w:rPr>
          <w:rFonts w:ascii="Calibri" w:hAnsi="Calibri"/>
          <w:color w:val="20262E"/>
        </w:rPr>
        <w:t>Mlinaric T, et al. Scientific Reports. 2026. doi:10.1038/s41598-026-35316-9.</w:t>
      </w:r>
    </w:p>
    <w:p>
      <w:pPr>
        <w:pStyle w:val="ListNumber"/>
        <w:numPr>
          <w:ilvl w:val="0"/>
          <w:numId w:val="12"/>
        </w:numPr>
      </w:pPr>
      <w:r>
        <w:rPr>
          <w:rFonts w:ascii="Calibri" w:hAnsi="Calibri"/>
          <w:color w:val="20262E"/>
        </w:rPr>
        <w:t>Jiang R, et al. Cognitive Neurodynamics. 2025. doi:10.1007/s11571-025-10232-2.</w:t>
      </w:r>
    </w:p>
    <w:p>
      <w:pPr>
        <w:pStyle w:val="ListNumber"/>
        <w:numPr>
          <w:ilvl w:val="0"/>
          <w:numId w:val="12"/>
        </w:numPr>
      </w:pPr>
      <w:r>
        <w:rPr>
          <w:rFonts w:ascii="Calibri" w:hAnsi="Calibri"/>
          <w:color w:val="20262E"/>
        </w:rPr>
        <w:t>Lee DG, Lee SB. IEEE Transactions on Neural Systems and Rehabilitation Engineering. 2025. doi:10.1109/TNSRE.2025.3575840.</w:t>
      </w:r>
    </w:p>
    <w:p>
      <w:pPr>
        <w:pStyle w:val="ListNumber"/>
        <w:numPr>
          <w:ilvl w:val="0"/>
          <w:numId w:val="12"/>
        </w:numPr>
      </w:pPr>
      <w:r>
        <w:rPr>
          <w:rFonts w:ascii="Calibri" w:hAnsi="Calibri"/>
          <w:color w:val="20262E"/>
        </w:rPr>
        <w:t>The AHEPA EEG benchmark: setting the standard for machine learning in dementia diagnosis, a scoping review. 2026. PMID:42165009.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b/>
              <w:color w:val="5F6B76"/>
              <w:sz w:val="16"/>
            </w:rPr>
            <w:t>AD/FTD/CN EEG CONFIRMATORY STUDY</w:t>
          </w:r>
        </w:p>
      </w:tc>
      <w:tc>
        <w:tcPr>
          <w:tcW w:type="dxa" w:w="3360"/>
          <w:tcMar>
            <w:top w:w="80" w:type="dxa"/>
            <w:bottom w:w="80" w:type="dxa"/>
            <w:start w:w="120" w:type="dxa"/>
            <w:end w:w="120" w:type="dxa"/>
          </w:tcMar>
          <w:vAlign w:val="center"/>
        </w:tcPr>
        <w:p>
          <w:pPr>
            <w:spacing w:after="0"/>
            <w:jc w:val="right"/>
          </w:pPr>
          <w:r>
            <w:rPr>
              <w:rFonts w:ascii="Calibri" w:hAnsi="Calibri"/>
              <w:b/>
              <w:color w:val="5F6B76"/>
              <w:sz w:val="16"/>
            </w:rPr>
            <w:t>PI DECISION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jc w:val="left"/>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after="160" w:lineRule="auto" w:line="28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after="160" w:lineRule="auto" w:line="28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Quote">
    <w:name w:val="Brief Quote"/>
    <w:pPr>
      <w:spacing w:before="120" w:after="160" w:line="276" w:lineRule="auto"/>
      <w:ind w:left="360" w:right="216"/>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Paired Resting-and-Photic EEG Study for AD/FTD/CN Discrimination</dc:title>
  <dc:subject>PI decision and presentation brief</dc:subject>
  <dc:creator>Reuben Noronha</dc:creator>
  <cp:keywords>EEG, Alzheimer disease, frontotemporal dementia, photic stimulation</cp:keywords>
  <dc:description>Exploratory research brief; not a clinical diagnostic document.</dc:description>
  <cp:lastModifiedBy/>
  <cp:revision>1</cp:revision>
  <dcterms:created xsi:type="dcterms:W3CDTF">2013-12-23T23:15:00Z</dcterms:created>
  <dcterms:modified xsi:type="dcterms:W3CDTF">2013-12-23T23:15:00Z</dcterms:modified>
  <cp:category/>
</cp:coreProperties>
</file>