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0no9eghmdko" w:id="0"/>
      <w:bookmarkEnd w:id="0"/>
      <w:r w:rsidDel="00000000" w:rsidR="00000000" w:rsidRPr="00000000">
        <w:rPr>
          <w:u w:val="single"/>
          <w:rtl w:val="0"/>
        </w:rPr>
        <w:t xml:space="preserve">1ère texte :</w:t>
      </w:r>
      <w:r w:rsidDel="00000000" w:rsidR="00000000" w:rsidRPr="00000000">
        <w:rPr>
          <w:rtl w:val="0"/>
        </w:rPr>
        <w:t xml:space="preserve"> Lettre d'Apicon à Namnésis </w:t>
      </w:r>
    </w:p>
    <w:p w:rsidR="00000000" w:rsidDel="00000000" w:rsidP="00000000" w:rsidRDefault="00000000" w:rsidRPr="00000000" w14:paraId="00000002">
      <w:pPr>
        <w:pStyle w:val="Subtitle"/>
        <w:rPr>
          <w:sz w:val="22"/>
          <w:szCs w:val="22"/>
        </w:rPr>
      </w:pPr>
      <w:bookmarkStart w:colFirst="0" w:colLast="0" w:name="_2wc4gb83t8ez" w:id="1"/>
      <w:bookmarkEnd w:id="1"/>
      <w:r w:rsidDel="00000000" w:rsidR="00000000" w:rsidRPr="00000000">
        <w:rPr>
          <w:rtl w:val="0"/>
        </w:rPr>
        <w:t xml:space="preserve">(Date inconnue)</w:t>
        <w:br w:type="textWrapping"/>
      </w:r>
      <w:r w:rsidDel="00000000" w:rsidR="00000000" w:rsidRPr="00000000">
        <w:rPr>
          <w:sz w:val="22"/>
          <w:szCs w:val="22"/>
          <w:rtl w:val="0"/>
        </w:rPr>
        <w:t xml:space="preserve">Traduction: Mindaelind de Hresvelg, Maat Nelladellen</w:t>
      </w:r>
    </w:p>
    <w:p w:rsidR="00000000" w:rsidDel="00000000" w:rsidP="00000000" w:rsidRDefault="00000000" w:rsidRPr="00000000" w14:paraId="00000003">
      <w:pPr>
        <w:rPr>
          <w:sz w:val="20"/>
          <w:szCs w:val="20"/>
        </w:rPr>
      </w:pPr>
      <w:r w:rsidDel="00000000" w:rsidR="00000000" w:rsidRPr="00000000">
        <w:rPr>
          <w:sz w:val="20"/>
          <w:szCs w:val="20"/>
          <w:rtl w:val="0"/>
        </w:rPr>
        <w:t xml:space="preserve">Ami, j'ai trouvé le moyen de prolonger l'essence du corps pour maintenir l'âme dans ce dernier. Ce sont d'anciens rites se rapprochant de la nécromancie. Avec tes découvertes sur la sauvegarde de l'esprit, j'ai le grand espoir de pouvoir approcher l'éternité si l'on prévient le corps de se dégrader. Mais la Dame est près de moi et surveille mes recherches, voilà pourquoi je t'écris dans le langage si désuet des premiers hommes dont peu se souviennent. </w:t>
      </w:r>
    </w:p>
    <w:p w:rsidR="00000000" w:rsidDel="00000000" w:rsidP="00000000" w:rsidRDefault="00000000" w:rsidRPr="00000000" w14:paraId="00000004">
      <w:pPr>
        <w:rPr>
          <w:sz w:val="20"/>
          <w:szCs w:val="20"/>
        </w:rPr>
      </w:pPr>
      <w:r w:rsidDel="00000000" w:rsidR="00000000" w:rsidRPr="00000000">
        <w:rPr>
          <w:sz w:val="20"/>
          <w:szCs w:val="20"/>
          <w:rtl w:val="0"/>
        </w:rPr>
        <w:t xml:space="preserve">J'ai caché des éléments autour de Kersis'Kal car je sais la mémoire des Pragmas défaillante depuis tes expériences. Je vais avoir besoin de ton aide lorsque le temps sera venu, et si j'échoue je compte sur toi pour utiliser une de tes inventions afin que mon esprit survive à mon corps si faible maintenant. Je place le premier coffret dans cet espace où nous devisons tant, celui-là même où je t'avais dit vouloir être enterré. </w:t>
      </w:r>
    </w:p>
    <w:p w:rsidR="00000000" w:rsidDel="00000000" w:rsidP="00000000" w:rsidRDefault="00000000" w:rsidRPr="00000000" w14:paraId="00000005">
      <w:pPr>
        <w:jc w:val="right"/>
        <w:rPr>
          <w:sz w:val="20"/>
          <w:szCs w:val="20"/>
        </w:rPr>
      </w:pPr>
      <w:r w:rsidDel="00000000" w:rsidR="00000000" w:rsidRPr="00000000">
        <w:rPr>
          <w:sz w:val="20"/>
          <w:szCs w:val="20"/>
          <w:rtl w:val="0"/>
        </w:rPr>
        <w:t xml:space="preserve">Ton ami, Apicon</w:t>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pStyle w:val="Heading2"/>
        <w:rPr/>
      </w:pPr>
      <w:bookmarkStart w:colFirst="0" w:colLast="0" w:name="_2cjnkdbpnqgo" w:id="2"/>
      <w:bookmarkEnd w:id="2"/>
      <w:r w:rsidDel="00000000" w:rsidR="00000000" w:rsidRPr="00000000">
        <w:rPr>
          <w:u w:val="single"/>
          <w:rtl w:val="0"/>
        </w:rPr>
        <w:t xml:space="preserve">2ème texte :</w:t>
      </w:r>
      <w:r w:rsidDel="00000000" w:rsidR="00000000" w:rsidRPr="00000000">
        <w:rPr>
          <w:rtl w:val="0"/>
        </w:rPr>
        <w:t xml:space="preserve"> Préface d'un nécromant inconnu, message d'Apicon à Namnésis</w:t>
      </w:r>
    </w:p>
    <w:p w:rsidR="00000000" w:rsidDel="00000000" w:rsidP="00000000" w:rsidRDefault="00000000" w:rsidRPr="00000000" w14:paraId="00000008">
      <w:pPr>
        <w:pStyle w:val="Subtitle"/>
        <w:rPr>
          <w:sz w:val="22"/>
          <w:szCs w:val="22"/>
        </w:rPr>
      </w:pPr>
      <w:bookmarkStart w:colFirst="0" w:colLast="0" w:name="_goi7m327iuc4" w:id="3"/>
      <w:bookmarkEnd w:id="3"/>
      <w:r w:rsidDel="00000000" w:rsidR="00000000" w:rsidRPr="00000000">
        <w:rPr>
          <w:rtl w:val="0"/>
        </w:rPr>
        <w:t xml:space="preserve">(Date inconnue)</w:t>
        <w:br w:type="textWrapping"/>
      </w:r>
      <w:r w:rsidDel="00000000" w:rsidR="00000000" w:rsidRPr="00000000">
        <w:rPr>
          <w:sz w:val="22"/>
          <w:szCs w:val="22"/>
          <w:rtl w:val="0"/>
        </w:rPr>
        <w:t xml:space="preserve">Traduction: Thibault Thosis’Lon</w:t>
      </w:r>
    </w:p>
    <w:p w:rsidR="00000000" w:rsidDel="00000000" w:rsidP="00000000" w:rsidRDefault="00000000" w:rsidRPr="00000000" w14:paraId="00000009">
      <w:pPr>
        <w:rPr>
          <w:sz w:val="20"/>
          <w:szCs w:val="20"/>
        </w:rPr>
      </w:pPr>
      <w:r w:rsidDel="00000000" w:rsidR="00000000" w:rsidRPr="00000000">
        <w:rPr>
          <w:sz w:val="20"/>
          <w:szCs w:val="20"/>
          <w:rtl w:val="0"/>
        </w:rPr>
        <w:t xml:space="preserve">Mon ami,</w:t>
      </w:r>
    </w:p>
    <w:p w:rsidR="00000000" w:rsidDel="00000000" w:rsidP="00000000" w:rsidRDefault="00000000" w:rsidRPr="00000000" w14:paraId="0000000A">
      <w:pPr>
        <w:rPr>
          <w:sz w:val="20"/>
          <w:szCs w:val="20"/>
        </w:rPr>
      </w:pPr>
      <w:r w:rsidDel="00000000" w:rsidR="00000000" w:rsidRPr="00000000">
        <w:rPr>
          <w:sz w:val="20"/>
          <w:szCs w:val="20"/>
          <w:rtl w:val="0"/>
        </w:rPr>
        <w:t xml:space="preserve">Je vis à jamais grâce à toi.</w:t>
      </w:r>
    </w:p>
    <w:p w:rsidR="00000000" w:rsidDel="00000000" w:rsidP="00000000" w:rsidRDefault="00000000" w:rsidRPr="00000000" w14:paraId="0000000B">
      <w:pPr>
        <w:rPr>
          <w:sz w:val="20"/>
          <w:szCs w:val="20"/>
        </w:rPr>
      </w:pPr>
      <w:r w:rsidDel="00000000" w:rsidR="00000000" w:rsidRPr="00000000">
        <w:rPr>
          <w:sz w:val="20"/>
          <w:szCs w:val="20"/>
          <w:rtl w:val="0"/>
        </w:rPr>
        <w:t xml:space="preserve">Je confie à tes disciples mon savoir dans cette nouvelle branche de magie.</w:t>
      </w:r>
    </w:p>
    <w:p w:rsidR="00000000" w:rsidDel="00000000" w:rsidP="00000000" w:rsidRDefault="00000000" w:rsidRPr="00000000" w14:paraId="0000000C">
      <w:pPr>
        <w:rPr>
          <w:sz w:val="20"/>
          <w:szCs w:val="20"/>
        </w:rPr>
      </w:pPr>
      <w:r w:rsidDel="00000000" w:rsidR="00000000" w:rsidRPr="00000000">
        <w:rPr>
          <w:sz w:val="20"/>
          <w:szCs w:val="20"/>
          <w:rtl w:val="0"/>
        </w:rPr>
        <w:t xml:space="preserve">Mon journal sur le Traité sur l'Usage du Corps Après la Mort Physique et la Sauvegarde de l'Ame sera en lieu sûr dans la cité de notre apprentissage, et quelques cadeaux avec mon corps seront enfouis : le Candélabre et le Crâne. </w:t>
      </w:r>
    </w:p>
    <w:p w:rsidR="00000000" w:rsidDel="00000000" w:rsidP="00000000" w:rsidRDefault="00000000" w:rsidRPr="00000000" w14:paraId="0000000D">
      <w:pPr>
        <w:rPr>
          <w:sz w:val="18"/>
          <w:szCs w:val="18"/>
        </w:rPr>
      </w:pPr>
      <w:r w:rsidDel="00000000" w:rsidR="00000000" w:rsidRPr="00000000">
        <w:rPr>
          <w:sz w:val="20"/>
          <w:szCs w:val="20"/>
          <w:rtl w:val="0"/>
        </w:rPr>
        <w:t xml:space="preserve">Ils peuvent t'être utiles un jour futur.</w:t>
      </w:r>
      <w:r w:rsidDel="00000000" w:rsidR="00000000" w:rsidRPr="00000000">
        <w:rPr>
          <w:rtl w:val="0"/>
        </w:rPr>
      </w:r>
    </w:p>
    <w:p w:rsidR="00000000" w:rsidDel="00000000" w:rsidP="00000000" w:rsidRDefault="00000000" w:rsidRPr="00000000" w14:paraId="0000000E">
      <w:pPr>
        <w:pStyle w:val="Subtitle"/>
        <w:rPr>
          <w:sz w:val="20"/>
          <w:szCs w:val="20"/>
        </w:rPr>
      </w:pPr>
      <w:bookmarkStart w:colFirst="0" w:colLast="0" w:name="_4shfaj7zulee" w:id="4"/>
      <w:bookmarkEnd w:id="4"/>
      <w:r w:rsidDel="00000000" w:rsidR="00000000" w:rsidRPr="00000000">
        <w:rPr>
          <w:rtl w:val="0"/>
        </w:rPr>
        <w:br w:type="textWrapping"/>
      </w:r>
      <w:r w:rsidDel="00000000" w:rsidR="00000000" w:rsidRPr="00000000">
        <w:rPr>
          <w:sz w:val="20"/>
          <w:szCs w:val="20"/>
          <w:u w:val="single"/>
          <w:rtl w:val="0"/>
        </w:rPr>
        <w:t xml:space="preserve">Commentaire du traducteur :</w:t>
      </w:r>
      <w:r w:rsidDel="00000000" w:rsidR="00000000" w:rsidRPr="00000000">
        <w:rPr>
          <w:sz w:val="20"/>
          <w:szCs w:val="20"/>
          <w:rtl w:val="0"/>
        </w:rPr>
        <w:t xml:space="preserve"> Ces deux textes nous apprennent qu'Apicon, ce petit cachottier, n'était pas seulement (et peut-être pas du tout) un Barde, mais le fondateur de la Nécromancie et de la Tour d'Akioch, rien que cela ! La préface est presque aussi intéressante que le texte lui-même. Plusieurs indices donnent à penser que Lyrkélis pourrait être la cité en question. </w:t>
        <w:br w:type="textWrapping"/>
        <w:t xml:space="preserve">D'une part, le fait que "l'accès à sa terre" ait été fermé. </w:t>
        <w:br w:type="textWrapping"/>
        <w:t xml:space="preserve">D'autre part, le fait que cette terre soit liée aux Pragmas dont nous savons qu'Apicon fut un (très) proche. Enfin, le fait que les "pierres qui chantent" de Lyrkélis ont pu influencer Namnésis dans sa création des Dales (au moins dans leur forme). </w:t>
        <w:br w:type="textWrapping"/>
        <w:t xml:space="preserve">La tombe d'Apicon serait donc possiblement située à Lyrkélis ! Quant au Candélabre et au Crâne, le dernier texte nous en apprendra encore davantage.</w:t>
        <w:br w:type="textWrapping"/>
        <w:br w:type="textWrapping"/>
      </w:r>
      <w:r w:rsidDel="00000000" w:rsidR="00000000" w:rsidRPr="00000000">
        <w:rPr>
          <w:sz w:val="20"/>
          <w:szCs w:val="20"/>
          <w:u w:val="single"/>
          <w:rtl w:val="0"/>
        </w:rPr>
        <w:t xml:space="preserve">Hypothèse :</w:t>
      </w:r>
      <w:r w:rsidDel="00000000" w:rsidR="00000000" w:rsidRPr="00000000">
        <w:rPr>
          <w:sz w:val="20"/>
          <w:szCs w:val="20"/>
          <w:rtl w:val="0"/>
        </w:rPr>
        <w:t xml:space="preserve"> </w:t>
      </w:r>
      <w:r w:rsidDel="00000000" w:rsidR="00000000" w:rsidRPr="00000000">
        <w:rPr>
          <w:sz w:val="20"/>
          <w:szCs w:val="20"/>
          <w:rtl w:val="0"/>
        </w:rPr>
        <w:t xml:space="preserve">la Reine aurait vécu à cet endroit avec Apicon, et peut-être élevé leur fille ! Puis en conflit avec celle-ci après la mort d'Apicon, elle l'aurait enfermée là avant de partir dans la région d'Edenorya.</w:t>
        <w:br w:type="textWrapping"/>
        <w:t xml:space="preserve">Cela expliquerait la "fermeture" de la région pendant un temps assez long...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