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r2v3hzmhl68j" w:id="0"/>
      <w:bookmarkEnd w:id="0"/>
      <w:r w:rsidDel="00000000" w:rsidR="00000000" w:rsidRPr="00000000">
        <w:rPr>
          <w:rtl w:val="0"/>
        </w:rPr>
        <w:t xml:space="preserve">Exercice 4: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4105275</wp:posOffset>
            </wp:positionH>
            <wp:positionV relativeFrom="paragraph">
              <wp:posOffset>114300</wp:posOffset>
            </wp:positionV>
            <wp:extent cx="2266950" cy="19716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7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h1hspb3bmjfp" w:id="1"/>
      <w:bookmarkEnd w:id="1"/>
      <w:r w:rsidDel="00000000" w:rsidR="00000000" w:rsidRPr="00000000">
        <w:rPr>
          <w:rtl w:val="0"/>
        </w:rPr>
        <w:t xml:space="preserve">Q4.1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Cliques: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{a} … {j}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{a, b}, {a, c} …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{a, b, c}, {a, d, b} …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{e, h, i, j}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108zbwu1f3i4" w:id="2"/>
      <w:bookmarkEnd w:id="2"/>
      <w:r w:rsidDel="00000000" w:rsidR="00000000" w:rsidRPr="00000000">
        <w:rPr>
          <w:rtl w:val="0"/>
        </w:rPr>
        <w:t xml:space="preserve">Q.4.2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Ensembles indépendants: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{a}, {b} …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{a, e}, {a, f} …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{d, f, i}, {b, h, g} … 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rughblavfm45" w:id="3"/>
      <w:bookmarkEnd w:id="3"/>
      <w:r w:rsidDel="00000000" w:rsidR="00000000" w:rsidRPr="00000000">
        <w:rPr>
          <w:rtl w:val="0"/>
        </w:rPr>
        <w:t xml:space="preserve">Q.4.3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Ensembles couvrant toutes les arêtes: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V = ensemble de tous les sommets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- {d, f, i} = {a, b, c, e, g, h, j}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9050" distT="19050" distL="19050" distR="19050">
            <wp:extent cx="2184400" cy="152400"/>
            <wp:effectExtent b="0" l="0" r="0" t="0"/>
            <wp:docPr descr="{&quot;font&quot;:{&quot;color&quot;:&quot;#000000&quot;,&quot;size&quot;:11,&quot;family&quot;:&quot;Arial&quot;},&quot;id&quot;:&quot;1&quot;,&quot;code&quot;:&quot;$$\\nabla\\left\\{x,\\,y\\right\\}\\,∈\\,A\\,;\\,x\\,∉\\,S\\,ou\\,y\\,∉\\,S$$&quot;,&quot;type&quot;:&quot;$$&quot;,&quot;backgroundColor&quot;:&quot;#ffffff&quot;,&quot;backgroundColorModified&quot;:false,&quot;aid&quot;:null,&quot;ts&quot;:1669014927126,&quot;cs&quot;:&quot;MdqPmVVk3uE4lieoLZr9Zg==&quot;,&quot;size&quot;:{&quot;width&quot;:229,&quot;height&quot;:16}}" id="2" name="image2.png"/>
            <a:graphic>
              <a:graphicData uri="http://schemas.openxmlformats.org/drawingml/2006/picture">
                <pic:pic>
                  <pic:nvPicPr>
                    <pic:cNvPr descr="{&quot;font&quot;:{&quot;color&quot;:&quot;#000000&quot;,&quot;size&quot;:11,&quot;family&quot;:&quot;Arial&quot;},&quot;id&quot;:&quot;1&quot;,&quot;code&quot;:&quot;$$\\nabla\\left\\{x,\\,y\\right\\}\\,∈\\,A\\,;\\,x\\,∉\\,S\\,ou\\,y\\,∉\\,S$$&quot;,&quot;type&quot;:&quot;$$&quot;,&quot;backgroundColor&quot;:&quot;#ffffff&quot;,&quot;backgroundColorModified&quot;:false,&quot;aid&quot;:null,&quot;ts&quot;:1669014927126,&quot;cs&quot;:&quot;MdqPmVVk3uE4lieoLZr9Zg==&quot;,&quot;size&quot;:{&quot;width&quot;:229,&quot;height&quot;:16}}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y97ueydgg1j0" w:id="4"/>
      <w:bookmarkEnd w:id="4"/>
      <w:r w:rsidDel="00000000" w:rsidR="00000000" w:rsidRPr="00000000">
        <w:rPr>
          <w:rtl w:val="0"/>
        </w:rPr>
        <w:t xml:space="preserve">Q.4.4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 S indépendant pour G = (V, A) alors S est une clique de Ḡ = (V, Ā)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Preuve: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S independant ∇ {x, y} ∈ A, x ∉ S ou y ∉ S 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donc si {x, y} ⊆ S, (x ≠ y), alors {x, y} ∉ A, 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donc {x, y} ∈ Ā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donc S est une clique de Ḡ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151bmrwlcrn" w:id="5"/>
      <w:bookmarkEnd w:id="5"/>
      <w:r w:rsidDel="00000000" w:rsidR="00000000" w:rsidRPr="00000000">
        <w:rPr>
          <w:rtl w:val="0"/>
        </w:rPr>
        <w:t xml:space="preserve">Q.4.5 - Q.4.6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3SAT ⊰ ENS INDÉPENDANT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3SAT</w:t>
        <w:tab/>
        <w:tab/>
        <w:t xml:space="preserve">୧ </w:t>
        <w:tab/>
        <w:t xml:space="preserve">→ </w:t>
        <w:tab/>
        <w:t xml:space="preserve">v/f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↓</w:t>
        <w:tab/>
        <w:tab/>
        <w:t xml:space="preserve">↕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ENS IND</w:t>
        <w:tab/>
        <w:t xml:space="preserve">G, k </w:t>
        <w:tab/>
        <w:t xml:space="preserve">→ </w:t>
        <w:tab/>
        <w:t xml:space="preserve">v/f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 ៴ ㄱb ៴ c ⇒ </w:t>
        <w:tab/>
        <w:t xml:space="preserve"> (ㄱb)</w:t>
        <w:tab/>
        <w:t xml:space="preserve">// Si on construit un graphe complet (toutes les arêtes possible), </w:t>
        <w:tab/>
        <w:tab/>
        <w:tab/>
        <w:t xml:space="preserve">／   ＼</w:t>
        <w:tab/>
        <w:t xml:space="preserve">// alors les ensembles indépendants sont des singletons.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(a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— (c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 xml:space="preserve">// On bloque les “interprétations” incohérentes. </w:t>
      </w:r>
    </w:p>
    <w:p w:rsidR="00000000" w:rsidDel="00000000" w:rsidP="00000000" w:rsidRDefault="00000000" w:rsidRPr="00000000" w14:paraId="00000022">
      <w:pPr>
        <w:rPr>
          <w:vertAlign w:val="subscript"/>
        </w:rPr>
      </w:pPr>
      <w:r w:rsidDel="00000000" w:rsidR="00000000" w:rsidRPr="00000000">
        <w:rPr>
          <w:rtl w:val="0"/>
        </w:rPr>
        <w:t xml:space="preserve">ㄱa ៴ c</w:t>
        <w:tab/>
        <w:t xml:space="preserve">     ⇒ (ㄱa) — (c)</w:t>
        <w:tab/>
        <w:t xml:space="preserve">// On de “satisfait” qu’un littéral de c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Exemples d’ensembles indépendant max {ㄱb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interprétation : 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I(b) = F, I(c) = V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≠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687wuedqn6s5" w:id="6"/>
      <w:bookmarkEnd w:id="6"/>
      <w:r w:rsidDel="00000000" w:rsidR="00000000" w:rsidRPr="00000000">
        <w:rPr>
          <w:rtl w:val="0"/>
        </w:rPr>
        <w:t xml:space="preserve">Q.4.7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Soit ୧ ensembles de clauses, ou toutes les clauses ont 3 littéraux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 construit G = (V, A):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pour chaque clause 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l</w:t>
      </w:r>
      <w:r w:rsidDel="00000000" w:rsidR="00000000" w:rsidRPr="00000000">
        <w:rPr>
          <w:vertAlign w:val="subscript"/>
          <w:rtl w:val="0"/>
        </w:rPr>
        <w:t xml:space="preserve">i1 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៴ l</w:t>
      </w:r>
      <w:r w:rsidDel="00000000" w:rsidR="00000000" w:rsidRPr="00000000">
        <w:rPr>
          <w:vertAlign w:val="subscript"/>
          <w:rtl w:val="0"/>
        </w:rPr>
        <w:t xml:space="preserve">i2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 ៴ l</w:t>
      </w:r>
      <w:r w:rsidDel="00000000" w:rsidR="00000000" w:rsidRPr="00000000">
        <w:rPr>
          <w:vertAlign w:val="subscript"/>
          <w:rtl w:val="0"/>
        </w:rPr>
        <w:t xml:space="preserve">i3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contient un sommet pour chaque littéral, et on ajoute trois arêtes pour que ces 3 sommets forment une clause pve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ajoute les arêtes {l</w:t>
      </w:r>
      <w:r w:rsidDel="00000000" w:rsidR="00000000" w:rsidRPr="00000000">
        <w:rPr>
          <w:vertAlign w:val="subscript"/>
          <w:rtl w:val="0"/>
        </w:rPr>
        <w:t xml:space="preserve">ik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vertAlign w:val="subscript"/>
          <w:rtl w:val="0"/>
        </w:rPr>
        <w:t xml:space="preserve">jk</w:t>
      </w:r>
      <w:r w:rsidDel="00000000" w:rsidR="00000000" w:rsidRPr="00000000">
        <w:rPr>
          <w:rtl w:val="0"/>
        </w:rPr>
        <w:t xml:space="preserve">} ou l</w:t>
      </w:r>
      <w:r w:rsidDel="00000000" w:rsidR="00000000" w:rsidRPr="00000000">
        <w:rPr>
          <w:vertAlign w:val="subscript"/>
          <w:rtl w:val="0"/>
        </w:rPr>
        <w:t xml:space="preserve">ik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vertAlign w:val="subscript"/>
          <w:rtl w:val="0"/>
        </w:rPr>
        <w:t xml:space="preserve">jk</w:t>
      </w:r>
      <w:r w:rsidDel="00000000" w:rsidR="00000000" w:rsidRPr="00000000">
        <w:rPr>
          <w:rtl w:val="0"/>
        </w:rPr>
        <w:t xml:space="preserve"> sont deux littéraux complémentaires / opposés.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va démontrer que ୧ est satisfiable si G contient un ensemble indépendant de taille |୧|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S est un ensembles indépendant de G de taille |୧| :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on peut définir une interprétation I tel que I(l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= V pour tout l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S;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contient |୧| sommets, et ne peut contenir 2 sommets correspondant à une même clause, donc S contient exactement un "littéral' de chaque clause.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 ne peut contenir deux </w:t>
      </w:r>
      <w:r w:rsidDel="00000000" w:rsidR="00000000" w:rsidRPr="00000000">
        <w:rPr>
          <w:rtl w:val="0"/>
        </w:rPr>
        <w:t xml:space="preserve">sommets “contradictoires”.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Donc I est bien une interprétation (partielle) et I ≠ ୧.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Réciproque: 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I ≠ ୧ 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peut choisir, pour chaque clause, 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un littéral l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tel que I ≠ l</w:t>
      </w:r>
      <w:r w:rsidDel="00000000" w:rsidR="00000000" w:rsidRPr="00000000">
        <w:rPr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 est l’ensembles des sommets correspondants: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 contient un “sommet / littéraux" par clause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 ne contient pas 2 sommets / littéraux opposés.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|S| = |୧| et S ne contient aucune arête donc S est indépendant.</w:t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cwwckmj4xvt1" w:id="7"/>
      <w:bookmarkEnd w:id="7"/>
      <w:r w:rsidDel="00000000" w:rsidR="00000000" w:rsidRPr="00000000">
        <w:rPr>
          <w:rtl w:val="0"/>
        </w:rPr>
        <w:t xml:space="preserve">Q.4.8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3SAT est NP-complet.la transfo. se calcule en temps linéaire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ensembles indépendant est NP-difficile.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Battambang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ttambang-regular.ttf"/><Relationship Id="rId2" Type="http://schemas.openxmlformats.org/officeDocument/2006/relationships/font" Target="fonts/Battambang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