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6033da6e6e6ab42af6aa23972fd6adf8c7bac7"/>
    <w:p>
      <w:pPr>
        <w:pStyle w:val="Heading1"/>
      </w:pPr>
      <w:r>
        <w:t xml:space="preserve">Objective 2: Source Control &amp; Version Control (SCVC) Instructional Modules</w:t>
      </w:r>
    </w:p>
    <w:p>
      <w:pPr>
        <w:pStyle w:val="FirstParagraph"/>
      </w:pPr>
      <w:r>
        <w:rPr>
          <w:b/>
          <w:bCs/>
        </w:rPr>
        <w:t xml:space="preserve">Instructor:</w:t>
      </w:r>
      <w:r>
        <w:t xml:space="preserve"> </w:t>
      </w:r>
      <w:r>
        <w:t xml:space="preserve">[REDACTED]</w:t>
      </w:r>
      <w:r>
        <w:t xml:space="preserve"> </w:t>
      </w:r>
      <w:r>
        <w:rPr>
          <w:b/>
          <w:bCs/>
        </w:rPr>
        <w:t xml:space="preserve">Course(s):</w:t>
      </w:r>
      <w:r>
        <w:t xml:space="preserve"> </w:t>
      </w:r>
      <w:r>
        <w:t xml:space="preserve">CSC 289 (Software Development Capstone), CTS 285 (Web Application Development)</w:t>
      </w:r>
      <w:r>
        <w:t xml:space="preserve"> </w:t>
      </w:r>
      <w:r>
        <w:rPr>
          <w:b/>
          <w:bCs/>
        </w:rPr>
        <w:t xml:space="preserve">Evaluation Period:</w:t>
      </w:r>
      <w:r>
        <w:t xml:space="preserve"> </w:t>
      </w:r>
      <w:r>
        <w:t xml:space="preserve">Spring 2026</w:t>
      </w:r>
      <w:r>
        <w:t xml:space="preserve"> </w:t>
      </w:r>
      <w:r>
        <w:rPr>
          <w:b/>
          <w:bCs/>
        </w:rPr>
        <w:t xml:space="preserve">Objective Status:</w:t>
      </w:r>
      <w:r>
        <w:t xml:space="preserve"> </w:t>
      </w:r>
      <w:r>
        <w:t xml:space="preserve">Achieved and exceeded.</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
          <w:bCs/>
        </w:rPr>
        <w:t xml:space="preserve">Stated Requirements:</w:t>
      </w:r>
    </w:p>
    <w:p>
      <w:pPr>
        <w:pStyle w:val="Compact"/>
        <w:numPr>
          <w:ilvl w:val="0"/>
          <w:numId w:val="1001"/>
        </w:numPr>
      </w:pPr>
      <w:r>
        <w:t xml:space="preserve">Develop 1+ assignments on branch and merge strategies</w:t>
      </w:r>
    </w:p>
    <w:p>
      <w:pPr>
        <w:pStyle w:val="Compact"/>
        <w:numPr>
          <w:ilvl w:val="0"/>
          <w:numId w:val="1001"/>
        </w:numPr>
      </w:pPr>
      <w:r>
        <w:t xml:space="preserve">Create and implement a self/peer review framework for code quality</w:t>
      </w:r>
    </w:p>
    <w:p>
      <w:pPr>
        <w:pStyle w:val="Compact"/>
        <w:numPr>
          <w:ilvl w:val="0"/>
          <w:numId w:val="1001"/>
        </w:numPr>
      </w:pPr>
      <w:r>
        <w:t xml:space="preserve">Integrate issue tracking with the development workflow</w:t>
      </w:r>
    </w:p>
    <w:p>
      <w:pPr>
        <w:pStyle w:val="FirstParagraph"/>
      </w:pPr>
      <w:r>
        <w:rPr>
          <w:b/>
          <w:bCs/>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9"/>
    <w:bookmarkStart w:id="12" w:name="the-problem-this-objective-solves"/>
    <w:p>
      <w:pPr>
        <w:pStyle w:val="Heading2"/>
      </w:pPr>
      <w:r>
        <w:t xml:space="preserve">The Problem This Objective Solves</w:t>
      </w:r>
    </w:p>
    <w:bookmarkStart w:id="10"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w:t>
      </w:r>
    </w:p>
    <w:p>
      <w:pPr>
        <w:pStyle w:val="BodyText"/>
      </w:pPr>
      <w:r>
        <w:t xml:space="preserve">Garousi et al.’s 2020 systematic review in</w:t>
      </w:r>
      <w:r>
        <w:t xml:space="preserve"> </w:t>
      </w:r>
      <w:r>
        <w:rPr>
          <w:i/>
          <w:iCs/>
        </w:rPr>
        <w:t xml:space="preserve">IEEE Software</w:t>
      </w:r>
      <w:r>
        <w:t xml:space="preserve">, synthesizing 33 empirical studies across 12 countries and more than 4,000 data points, identified</w:t>
      </w:r>
      <w:r>
        <w:t xml:space="preserve"> </w:t>
      </w:r>
      <w:r>
        <w:rPr>
          <w:b/>
          <w:bCs/>
        </w:rPr>
        <w:t xml:space="preserve">configuration management</w:t>
      </w:r>
      <w:r>
        <w:t xml:space="preserve"> </w:t>
      </w:r>
      <w:r>
        <w:t xml:space="preserve">— the professional term for version control workflow — as one of the largest documented gaps between what CS graduates know and what employers actually need.</w:t>
      </w:r>
      <w:r>
        <w:t xml:space="preserve">[1]</w:t>
      </w:r>
      <w:r>
        <w:t xml:space="preserve"> </w:t>
      </w:r>
      <w:r>
        <w:t xml:space="preserve">This is not an anecdotal concern. It is the consensus finding of a decade of software engineering education research.</w:t>
      </w:r>
    </w:p>
    <w:p>
      <w:pPr>
        <w:pStyle w:val="BodyText"/>
      </w:pPr>
      <w:r>
        <w:t xml:space="preserve">The scale of the gap becomes vivid when viewed against industry-use data. The Stack Overflow Developer Survey 2024 (n = 65,437 professional developers across 185 countries) reports that</w:t>
      </w:r>
      <w:r>
        <w:t xml:space="preserve"> </w:t>
      </w:r>
      <w:r>
        <w:rPr>
          <w:b/>
          <w:bCs/>
        </w:rPr>
        <w:t xml:space="preserve">93% of professional developers use Git</w:t>
      </w:r>
      <w:r>
        <w:t xml:space="preserve"> </w:t>
      </w:r>
      <w:r>
        <w:t xml:space="preserve">as their primary version control system.</w:t>
      </w:r>
      <w:r>
        <w:t xml:space="preserve">[2]</w:t>
      </w:r>
      <w:r>
        <w:t xml:space="preserve"> </w:t>
      </w:r>
      <w:r>
        <w:t xml:space="preserve">GitHub’s Octoverse 2025 report documents that developers merged</w:t>
      </w:r>
      <w:r>
        <w:t xml:space="preserve"> </w:t>
      </w:r>
      <w:r>
        <w:rPr>
          <w:b/>
          <w:bCs/>
        </w:rPr>
        <w:t xml:space="preserve">43.2 million pull requests per month</w:t>
      </w:r>
      <w:r>
        <w:t xml:space="preserve"> </w:t>
      </w:r>
      <w:r>
        <w:t xml:space="preserve">on average — a 23% year-over-year increase — across the platform’s 180 million active users.</w:t>
      </w:r>
      <w:r>
        <w:t xml:space="preserve">[3]</w:t>
      </w:r>
      <w:r>
        <w:t xml:space="preserve"> </w:t>
      </w:r>
      <w:r>
        <w:t xml:space="preserve">The pull request is not one workflow among many. It is the dominant transaction unit of professional software development.</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10"/>
    <w:bookmarkStart w:id="11"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
          <w:iCs/>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
          <w:iCs/>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11"/>
    <w:bookmarkEnd w:id="12"/>
    <w:bookmarkStart w:id="15" w:name="framework-the-sacred-workflow"/>
    <w:p>
      <w:pPr>
        <w:pStyle w:val="Heading2"/>
      </w:pPr>
      <w:r>
        <w:t xml:space="preserve">Framework: The Sacred Workflow</w:t>
      </w:r>
    </w:p>
    <w:bookmarkStart w:id="13"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
          <w:bCs/>
        </w:rPr>
        <w:t xml:space="preserve">Sacred Workflow</w:t>
      </w:r>
      <w:r>
        <w:t xml:space="preserve"> </w:t>
      </w:r>
      <w:r>
        <w:t xml:space="preserve">— a ceremonial framing of the standard professional development process. This framing is a deliberate pedagogical choice, not an aesthetic one, and it is grounded in well-established learning theory.</w:t>
      </w:r>
    </w:p>
    <w:p>
      <w:pPr>
        <w:pStyle w:val="BodyText"/>
      </w:pPr>
      <w:r>
        <w:t xml:space="preserve">Lee Shulman’s foundational work on</w:t>
      </w:r>
      <w:r>
        <w:t xml:space="preserve"> </w:t>
      </w:r>
      <w:r>
        <w:rPr>
          <w:b/>
          <w:bCs/>
        </w:rPr>
        <w:t xml:space="preserve">signature pedagogies</w:t>
      </w:r>
      <w:r>
        <w:t xml:space="preserve"> </w:t>
      </w:r>
      <w:r>
        <w:t xml:space="preserve">in professional education argues that the most effective training for professional practice is not content delivery but the ritualized enactment of professional acts — what Shulman calls pedagogies that develop</w:t>
      </w:r>
      <w:r>
        <w:t xml:space="preserve"> </w:t>
      </w:r>
      <w:r>
        <w:t xml:space="preserve">“habits of the mind, habits of the heart, and habits of the hand.”</w:t>
      </w:r>
      <w:r>
        <w:t xml:space="preserve">[5]</w:t>
      </w:r>
      <w:r>
        <w:t xml:space="preserve"> </w:t>
      </w:r>
      <w:r>
        <w:t xml:space="preserve">The Sacred Workflow operationalizes this principle. By giving the workflow a name, a sequence, and a set of explicit commitments, students are not just learning a tool — they are being inducted into a community of practice.</w:t>
      </w:r>
    </w:p>
    <w:p>
      <w:pPr>
        <w:pStyle w:val="BodyText"/>
      </w:pPr>
      <w:r>
        <w:t xml:space="preserve">This is precisely the mechanism Lave and Wenger describe in</w:t>
      </w:r>
      <w:r>
        <w:t xml:space="preserve"> </w:t>
      </w:r>
      <w:r>
        <w:rPr>
          <w:i/>
          <w:iCs/>
        </w:rPr>
        <w:t xml:space="preserve">Situated Learning</w:t>
      </w:r>
      <w:r>
        <w:t xml:space="preserve"> </w:t>
      </w:r>
      <w:r>
        <w:t xml:space="preserve">(1991): newcomers become practitioners by performing the legitimate peripheral activities of the profession, not by studying those activities from a distance.</w:t>
      </w:r>
      <w:r>
        <w:t xml:space="preserve">[6]</w:t>
      </w:r>
      <w:r>
        <w:t xml:space="preserve"> </w:t>
      </w:r>
      <w:r>
        <w:t xml:space="preserve">Opening a draft PR before code is complete, linking commits to issue numbers, and conducting a structured peer review before merging — these are not classroom simulations of professional practice. They are professional practice, at reduced scale and reduced stakes.</w:t>
      </w:r>
    </w:p>
    <w:p>
      <w:pPr>
        <w:pStyle w:val="BodyText"/>
      </w:pPr>
      <w:r>
        <w:t xml:space="preserve">When students encounter these same workflows in their first jobs — and given GitHub’s 180 million active users, they will — they will not be encountering them for the first time. They will be continuing a practice they already know.</w:t>
      </w:r>
    </w:p>
    <w:bookmarkEnd w:id="13"/>
    <w:bookmarkStart w:id="14"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pStyle w:val="Compact"/>
        <w:numPr>
          <w:ilvl w:val="0"/>
          <w:numId w:val="1002"/>
        </w:numPr>
      </w:pPr>
      <w:r>
        <w:rPr>
          <w:b/>
          <w:bCs/>
        </w:rPr>
        <w:t xml:space="preserve">Create issues before writing code</w:t>
      </w:r>
      <w:r>
        <w:t xml:space="preserve"> </w:t>
      </w:r>
      <w:r>
        <w:t xml:space="preserve">— Work is tracked before it begins</w:t>
      </w:r>
    </w:p>
    <w:p>
      <w:pPr>
        <w:pStyle w:val="Compact"/>
        <w:numPr>
          <w:ilvl w:val="0"/>
          <w:numId w:val="1002"/>
        </w:numPr>
      </w:pPr>
      <w:r>
        <w:rPr>
          <w:b/>
          <w:bCs/>
        </w:rPr>
        <w:t xml:space="preserve">Branch before touching main</w:t>
      </w:r>
      <w:r>
        <w:t xml:space="preserve"> </w:t>
      </w:r>
      <w:r>
        <w:t xml:space="preserve">— No change reaches the integration branch without isolation</w:t>
      </w:r>
    </w:p>
    <w:p>
      <w:pPr>
        <w:pStyle w:val="Compact"/>
        <w:numPr>
          <w:ilvl w:val="0"/>
          <w:numId w:val="1002"/>
        </w:numPr>
      </w:pPr>
      <w:r>
        <w:rPr>
          <w:b/>
          <w:bCs/>
        </w:rPr>
        <w:t xml:space="preserve">Commit early and often</w:t>
      </w:r>
      <w:r>
        <w:t xml:space="preserve"> </w:t>
      </w:r>
      <w:r>
        <w:t xml:space="preserve">— Progress is preserved in small, reversible increments</w:t>
      </w:r>
    </w:p>
    <w:p>
      <w:pPr>
        <w:pStyle w:val="Compact"/>
        <w:numPr>
          <w:ilvl w:val="0"/>
          <w:numId w:val="1002"/>
        </w:numPr>
      </w:pPr>
      <w:r>
        <w:rPr>
          <w:b/>
          <w:bCs/>
        </w:rPr>
        <w:t xml:space="preserve">Write meaningful commit messages</w:t>
      </w:r>
      <w:r>
        <w:t xml:space="preserve"> </w:t>
      </w:r>
      <w:r>
        <w:t xml:space="preserve">— The history is documentation</w:t>
      </w:r>
    </w:p>
    <w:p>
      <w:pPr>
        <w:pStyle w:val="Compact"/>
        <w:numPr>
          <w:ilvl w:val="0"/>
          <w:numId w:val="1002"/>
        </w:numPr>
      </w:pPr>
      <w:r>
        <w:rPr>
          <w:b/>
          <w:bCs/>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14"/>
    <w:bookmarkEnd w:id="15"/>
    <w:bookmarkStart w:id="20" w:name="module-descriptions"/>
    <w:p>
      <w:pPr>
        <w:pStyle w:val="Heading2"/>
      </w:pPr>
      <w:r>
        <w:t xml:space="preserve">Module Descriptions</w:t>
      </w:r>
    </w:p>
    <w:bookmarkStart w:id="16" w:name="Xb0b962f346a299d1b0bf3f0627992ebb80198f4"/>
    <w:p>
      <w:pPr>
        <w:pStyle w:val="Heading3"/>
      </w:pPr>
      <w:r>
        <w:t xml:space="preserve">Module 1 — Issue Tracking as Work Documentation</w:t>
      </w:r>
    </w:p>
    <w:p>
      <w:pPr>
        <w:pStyle w:val="FirstParagraph"/>
      </w:pPr>
      <w:r>
        <w:rPr>
          <w:b/>
          <w:bCs/>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End w:id="16"/>
    <w:bookmarkStart w:id="17" w:name="module-2-branch-and-merge-workflow"/>
    <w:p>
      <w:pPr>
        <w:pStyle w:val="Heading3"/>
      </w:pPr>
      <w:r>
        <w:t xml:space="preserve">Module 2 — Branch-and-Merge Workflow</w:t>
      </w:r>
    </w:p>
    <w:p>
      <w:pPr>
        <w:pStyle w:val="FirstParagraph"/>
      </w:pPr>
      <w:r>
        <w:rPr>
          <w:b/>
          <w:bCs/>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
          <w:iCs/>
        </w:rPr>
        <w:t xml:space="preserve">small, frequent commits with clear context</w:t>
      </w:r>
      <w:r>
        <w:t xml:space="preserve"> </w:t>
      </w:r>
      <w:r>
        <w:t xml:space="preserve">rather than large, infrequent batch submissions. Students learn to work at the scale and rhythm professional review requires.</w:t>
      </w:r>
    </w:p>
    <w:bookmarkEnd w:id="17"/>
    <w:bookmarkStart w:id="18" w:name="module-3-pull-request-process"/>
    <w:p>
      <w:pPr>
        <w:pStyle w:val="Heading3"/>
      </w:pPr>
      <w:r>
        <w:t xml:space="preserve">Module 3 — Pull Request Process</w:t>
      </w:r>
    </w:p>
    <w:p>
      <w:pPr>
        <w:pStyle w:val="FirstParagraph"/>
      </w:pPr>
      <w:r>
        <w:rPr>
          <w:b/>
          <w:bCs/>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
          <w:bCs/>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18"/>
    <w:bookmarkStart w:id="19" w:name="module-4-self-and-peer-code-review"/>
    <w:p>
      <w:pPr>
        <w:pStyle w:val="Heading3"/>
      </w:pPr>
      <w:r>
        <w:t xml:space="preserve">Module 4 — Self and Peer Code Review</w:t>
      </w:r>
    </w:p>
    <w:p>
      <w:pPr>
        <w:pStyle w:val="FirstParagraph"/>
      </w:pPr>
      <w:r>
        <w:rPr>
          <w:b/>
          <w:bCs/>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
          <w:bCs/>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
          <w:iCs/>
        </w:rPr>
        <w:t xml:space="preserve">State of Code Review</w:t>
      </w:r>
      <w:r>
        <w:t xml:space="preserve"> </w:t>
      </w:r>
      <w:r>
        <w:t xml:space="preserve">survey — conducted annually across approximately 800 software professionals — has identified peer code review as the</w:t>
      </w:r>
      <w:r>
        <w:t xml:space="preserve"> </w:t>
      </w:r>
      <w:r>
        <w:rPr>
          <w:b/>
          <w:bCs/>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
          <w:iCs/>
        </w:rPr>
        <w:t xml:space="preserve">ACM Transactions on Computing Education</w:t>
      </w:r>
      <w:r>
        <w:t xml:space="preserve"> </w:t>
      </w:r>
      <w:r>
        <w:t xml:space="preserve">— examining 51 empirical studies — found that peer code review in higher education consistently produces gains in</w:t>
      </w:r>
      <w:r>
        <w:t xml:space="preserve"> </w:t>
      </w:r>
      <w:r>
        <w:rPr>
          <w:b/>
          <w:bCs/>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19"/>
    <w:bookmarkEnd w:id="20"/>
    <w:bookmarkStart w:id="21"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builds the kind of</w:t>
      </w:r>
      <w:r>
        <w:t xml:space="preserve"> </w:t>
      </w:r>
      <w:r>
        <w:rPr>
          <w:b/>
          <w:bCs/>
        </w:rPr>
        <w:t xml:space="preserve">procedural automaticity</w:t>
      </w:r>
      <w:r>
        <w:t xml:space="preserve"> </w:t>
      </w:r>
      <w:r>
        <w:t xml:space="preserve">that Shulman identifies as the goal of signature-pedagogical formation: students stop</w:t>
      </w:r>
      <w:r>
        <w:t xml:space="preserve"> </w:t>
      </w:r>
      <w:r>
        <w:rPr>
          <w:i/>
          <w:iCs/>
        </w:rPr>
        <w:t xml:space="preserve">thinking about</w:t>
      </w:r>
      <w:r>
        <w:t xml:space="preserve"> </w:t>
      </w:r>
      <w:r>
        <w:t xml:space="preserve">the workflow and start</w:t>
      </w:r>
      <w:r>
        <w:t xml:space="preserve"> </w:t>
      </w:r>
      <w:r>
        <w:rPr>
          <w:i/>
          <w:iCs/>
        </w:rPr>
        <w:t xml:space="preserve">enacting</w:t>
      </w:r>
      <w:r>
        <w:t xml:space="preserve"> </w:t>
      </w:r>
      <w:r>
        <w:t xml:space="preserve">it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21"/>
    <w:bookmarkStart w:id="24" w:name="evidence-of-effectiveness"/>
    <w:p>
      <w:pPr>
        <w:pStyle w:val="Heading2"/>
      </w:pPr>
      <w:r>
        <w:t xml:space="preserve">Evidence of Effectiveness</w:t>
      </w:r>
    </w:p>
    <w:bookmarkStart w:id="22"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Students creating issues before code (by Sprint 2)</w:t>
            </w:r>
          </w:p>
        </w:tc>
        <w:tc>
          <w:tcPr/>
          <w:p>
            <w:pPr>
              <w:pStyle w:val="Compact"/>
            </w:pPr>
            <w:r>
              <w:t xml:space="preserve">100%</w:t>
            </w:r>
          </w:p>
        </w:tc>
      </w:tr>
      <w:tr>
        <w:tc>
          <w:tcPr/>
          <w:p>
            <w:pPr>
              <w:pStyle w:val="Compact"/>
            </w:pPr>
            <w:r>
              <w:t xml:space="preserve">Average issue completeness score</w:t>
            </w:r>
          </w:p>
        </w:tc>
        <w:tc>
          <w:tcPr/>
          <w:p>
            <w:pPr>
              <w:pStyle w:val="Compact"/>
            </w:pPr>
            <w:r>
              <w:t xml:space="preserve">92/100</w:t>
            </w:r>
          </w:p>
        </w:tc>
      </w:tr>
      <w:tr>
        <w:tc>
          <w:tcPr/>
          <w:p>
            <w:pPr>
              <w:pStyle w:val="Compact"/>
            </w:pPr>
            <w:r>
              <w:t xml:space="preserve">PRs properly linked to issues</w:t>
            </w:r>
          </w:p>
        </w:tc>
        <w:tc>
          <w:tcPr/>
          <w:p>
            <w:pPr>
              <w:pStyle w:val="Compact"/>
            </w:pPr>
            <w:r>
              <w:t xml:space="preserve">95%</w:t>
            </w:r>
          </w:p>
        </w:tc>
      </w:tr>
      <w:tr>
        <w:tc>
          <w:tcPr/>
          <w:p>
            <w:pPr>
              <w:pStyle w:val="Compact"/>
            </w:pPr>
            <w:r>
              <w:t xml:space="preserve">Students resolving merge conflicts without instructor intervention</w:t>
            </w:r>
          </w:p>
        </w:tc>
        <w:tc>
          <w:tcPr/>
          <w:p>
            <w:pPr>
              <w:pStyle w:val="Compact"/>
            </w:pPr>
            <w:r>
              <w:t xml:space="preserve">89%</w:t>
            </w:r>
          </w:p>
        </w:tc>
      </w:tr>
      <w:tr>
        <w:tc>
          <w:tcPr/>
          <w:p>
            <w:pPr>
              <w:pStyle w:val="Compact"/>
            </w:pPr>
            <w:r>
              <w:t xml:space="preserve">Work lost due to Git errors</w:t>
            </w:r>
          </w:p>
        </w:tc>
        <w:tc>
          <w:tcPr/>
          <w:p>
            <w:pPr>
              <w:pStyle w:val="Compact"/>
            </w:pPr>
            <w:r>
              <w:t xml:space="preserve">0 instances</w:t>
            </w:r>
          </w:p>
        </w:tc>
      </w:tr>
      <w:tr>
        <w:tc>
          <w:tcPr/>
          <w:p>
            <w:pPr>
              <w:pStyle w:val="Compact"/>
            </w:pPr>
            <w:r>
              <w:t xml:space="preserve">Average PR cycle time (create → merge)</w:t>
            </w:r>
          </w:p>
        </w:tc>
        <w:tc>
          <w:tcPr/>
          <w:p>
            <w:pPr>
              <w:pStyle w:val="Compact"/>
            </w:pPr>
            <w:r>
              <w:t xml:space="preserve">2.3 days</w:t>
            </w:r>
          </w:p>
        </w:tc>
      </w:tr>
      <w:tr>
        <w:tc>
          <w:tcPr/>
          <w:p>
            <w:pPr>
              <w:pStyle w:val="Compact"/>
            </w:pPr>
            <w:r>
              <w:t xml:space="preserve">Average peer review score</w:t>
            </w:r>
          </w:p>
        </w:tc>
        <w:tc>
          <w:tcPr/>
          <w:p>
            <w:pPr>
              <w:pStyle w:val="Compact"/>
            </w:pPr>
            <w:r>
              <w:t xml:space="preserve">85/100</w:t>
            </w:r>
          </w:p>
        </w:tc>
      </w:tr>
      <w:tr>
        <w:tc>
          <w:tcPr/>
          <w:p>
            <w:pPr>
              <w:pStyle w:val="Compact"/>
            </w:pPr>
            <w:r>
              <w:t xml:space="preserve">Students who addressed review feedback constructively</w:t>
            </w:r>
          </w:p>
        </w:tc>
        <w:tc>
          <w:tcPr/>
          <w:p>
            <w:pPr>
              <w:pStyle w:val="Compact"/>
            </w:pPr>
            <w:r>
              <w:t xml:space="preserve">94%</w:t>
            </w:r>
          </w:p>
        </w:tc>
      </w:tr>
      <w:tr>
        <w:tc>
          <w:tcPr/>
          <w:p>
            <w:pPr>
              <w:pStyle w:val="Compact"/>
            </w:pPr>
            <w:r>
              <w:t xml:space="preserve">Interpersonal conflicts arising from peer review process</w:t>
            </w:r>
          </w:p>
        </w:tc>
        <w:tc>
          <w:tcPr/>
          <w:p>
            <w:pPr>
              <w:pStyle w:val="Compact"/>
            </w:pPr>
            <w:r>
              <w:t xml:space="preserve">0</w:t>
            </w:r>
          </w:p>
        </w:tc>
      </w:tr>
    </w:tbl>
    <w:p>
      <w:pPr>
        <w:pStyle w:val="BodyText"/>
      </w:pPr>
      <w:r>
        <w:t xml:space="preserve">These figures reflect not just technical competency but professional behavioral formation — the actual outcome the objective was designed to produce.</w:t>
      </w:r>
    </w:p>
    <w:bookmarkEnd w:id="22"/>
    <w:bookmarkStart w:id="23"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
          <w:iCs/>
        </w:rPr>
        <w:t xml:space="preserve">“The Sacred Workflow felt silly at first, but now I do it automatically.”</w:t>
      </w:r>
    </w:p>
    <w:p>
      <w:pPr>
        <w:pStyle w:val="BlockText"/>
      </w:pPr>
      <w:r>
        <w:rPr>
          <w:i/>
          <w:iCs/>
        </w:rPr>
        <w:t xml:space="preserve">“Draft PRs saved me from redoing work twice.”</w:t>
      </w:r>
    </w:p>
    <w:p>
      <w:pPr>
        <w:pStyle w:val="BlockText"/>
      </w:pPr>
      <w:r>
        <w:rPr>
          <w:i/>
          <w:iCs/>
        </w:rPr>
        <w:t xml:space="preserve">“Peer review taught me to write clearer code even before review.”</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w:t>
      </w:r>
    </w:p>
    <w:p>
      <w:r>
        <w:pict>
          <v:rect style="width:0;height:1.5pt" o:hralign="center" o:hrstd="t" o:hr="t"/>
        </w:pict>
      </w:r>
    </w:p>
    <w:bookmarkEnd w:id="23"/>
    <w:bookmarkEnd w:id="24"/>
    <w:bookmarkStart w:id="27" w:name="scalability-and-institutional-value"/>
    <w:p>
      <w:pPr>
        <w:pStyle w:val="Heading2"/>
      </w:pPr>
      <w:r>
        <w:t xml:space="preserve">Scalability and Institutional Value</w:t>
      </w:r>
    </w:p>
    <w:bookmarkStart w:id="25" w:name="cross-course-implementation"/>
    <w:p>
      <w:pPr>
        <w:pStyle w:val="Heading3"/>
      </w:pPr>
      <w:r>
        <w:t xml:space="preserve">Cross-Course Implementation</w:t>
      </w:r>
    </w:p>
    <w:p>
      <w:pPr>
        <w:pStyle w:val="FirstParagraph"/>
      </w:pPr>
      <w:r>
        <w:t xml:space="preserve">The modular design of the Sacred Workflow framework enables staged adoption across the curriculum:</w:t>
      </w:r>
    </w:p>
    <w:p>
      <w:pPr>
        <w:pStyle w:val="Compact"/>
        <w:numPr>
          <w:ilvl w:val="0"/>
          <w:numId w:val="1003"/>
        </w:numPr>
      </w:pPr>
      <w:r>
        <w:rPr>
          <w:b/>
          <w:bCs/>
        </w:rPr>
        <w:t xml:space="preserve">CSC 289</w:t>
      </w:r>
      <w:r>
        <w:t xml:space="preserve"> </w:t>
      </w:r>
      <w:r>
        <w:t xml:space="preserve">(Capstone): Full four-module implementation, current semester</w:t>
      </w:r>
    </w:p>
    <w:p>
      <w:pPr>
        <w:pStyle w:val="Compact"/>
        <w:numPr>
          <w:ilvl w:val="0"/>
          <w:numId w:val="1003"/>
        </w:numPr>
      </w:pPr>
      <w:r>
        <w:rPr>
          <w:b/>
          <w:bCs/>
        </w:rPr>
        <w:t xml:space="preserve">CTS 285</w:t>
      </w:r>
      <w:r>
        <w:t xml:space="preserve"> </w:t>
      </w:r>
      <w:r>
        <w:t xml:space="preserve">(Web Development): Issue tracking and basic branch workflow, current semester</w:t>
      </w:r>
    </w:p>
    <w:p>
      <w:pPr>
        <w:pStyle w:val="Compact"/>
        <w:numPr>
          <w:ilvl w:val="0"/>
          <w:numId w:val="1003"/>
        </w:numPr>
      </w:pPr>
      <w:r>
        <w:rPr>
          <w:b/>
          <w:bCs/>
        </w:rPr>
        <w:t xml:space="preserve">CSC 151</w:t>
      </w:r>
      <w:r>
        <w:t xml:space="preserve"> </w:t>
      </w:r>
      <w:r>
        <w:t xml:space="preserve">(Intro CS): Issue tracking module, planned implementation</w:t>
      </w:r>
    </w:p>
    <w:p>
      <w:pPr>
        <w:pStyle w:val="FirstParagraph"/>
      </w:pPr>
      <w:r>
        <w:t xml:space="preserve">Each time a student encounters this workflow in a subsequent course, the professional habit is reinforced rather than introduced. By the time they reach the capstone, students who have passed through lower-division courses with this framework arrive already fluent — compressing onboarding and enabling more sophisticated sprint work.</w:t>
      </w:r>
    </w:p>
    <w:bookmarkEnd w:id="25"/>
    <w:bookmarkStart w:id="26" w:name="reusable-artifacts-created"/>
    <w:p>
      <w:pPr>
        <w:pStyle w:val="Heading3"/>
      </w:pPr>
      <w:r>
        <w:t xml:space="preserve">Reusable Artifacts Created</w:t>
      </w:r>
    </w:p>
    <w:p>
      <w:pPr>
        <w:pStyle w:val="FirstParagraph"/>
      </w:pPr>
      <w:r>
        <w:t xml:space="preserve">All materials developed under this objective are immediately reusable by any instructor in the department:</w:t>
      </w:r>
    </w:p>
    <w:p>
      <w:pPr>
        <w:pStyle w:val="Compact"/>
        <w:numPr>
          <w:ilvl w:val="0"/>
          <w:numId w:val="1004"/>
        </w:numPr>
      </w:pPr>
      <w:r>
        <w:rPr>
          <w:rStyle w:val="VerbatimChar"/>
        </w:rPr>
        <w:t xml:space="preserve">WORKFLOW_GUIDE.md</w:t>
      </w:r>
      <w:r>
        <w:t xml:space="preserve"> </w:t>
      </w:r>
      <w:r>
        <w:t xml:space="preserve">— Complete Sacred Workflow documentation</w:t>
      </w:r>
    </w:p>
    <w:p>
      <w:pPr>
        <w:pStyle w:val="Compact"/>
        <w:numPr>
          <w:ilvl w:val="0"/>
          <w:numId w:val="1004"/>
        </w:numPr>
      </w:pPr>
      <w:r>
        <w:rPr>
          <w:rStyle w:val="VerbatimChar"/>
        </w:rPr>
        <w:t xml:space="preserve">ISSUE_TEMPLATE.md</w:t>
      </w:r>
      <w:r>
        <w:t xml:space="preserve"> </w:t>
      </w:r>
      <w:r>
        <w:t xml:space="preserve">— Issue creation template and guidelines</w:t>
      </w:r>
    </w:p>
    <w:p>
      <w:pPr>
        <w:pStyle w:val="Compact"/>
        <w:numPr>
          <w:ilvl w:val="0"/>
          <w:numId w:val="1004"/>
        </w:numPr>
      </w:pPr>
      <w:r>
        <w:rPr>
          <w:rStyle w:val="VerbatimChar"/>
        </w:rPr>
        <w:t xml:space="preserve">Capstone_GameFAQs_Walkthrough.md</w:t>
      </w:r>
      <w:r>
        <w:t xml:space="preserve"> </w:t>
      </w:r>
      <w:r>
        <w:t xml:space="preserve">— Student-facing workflow guide</w:t>
      </w:r>
    </w:p>
    <w:p>
      <w:pPr>
        <w:pStyle w:val="Compact"/>
        <w:numPr>
          <w:ilvl w:val="0"/>
          <w:numId w:val="1004"/>
        </w:numPr>
      </w:pPr>
      <w:r>
        <w:rPr>
          <w:rStyle w:val="VerbatimChar"/>
        </w:rPr>
        <w:t xml:space="preserve">YELLOW_Exit_Ticket_Rubric.md</w:t>
      </w:r>
      <w:r>
        <w:t xml:space="preserve"> </w:t>
      </w:r>
      <w:r>
        <w:t xml:space="preserve">— Competency assessment rubric</w:t>
      </w:r>
    </w:p>
    <w:p>
      <w:pPr>
        <w:pStyle w:val="Compact"/>
        <w:numPr>
          <w:ilvl w:val="0"/>
          <w:numId w:val="1004"/>
        </w:numPr>
      </w:pPr>
      <w:r>
        <w:rPr>
          <w:rStyle w:val="VerbatimChar"/>
        </w:rPr>
        <w:t xml:space="preserve">DAY_1_ESSENTIALS.md</w:t>
      </w:r>
      <w:r>
        <w:t xml:space="preserve"> </w:t>
      </w:r>
      <w:r>
        <w:t xml:space="preserve">— Day 1 orientation and setup guide</w:t>
      </w:r>
    </w:p>
    <w:p>
      <w:pPr>
        <w:pStyle w:val="Compact"/>
        <w:numPr>
          <w:ilvl w:val="0"/>
          <w:numId w:val="1004"/>
        </w:numPr>
      </w:pPr>
      <w:r>
        <w:t xml:space="preserve">Sprint planning integration guide, peer review rubrics, and scaffolding progression documentation</w:t>
      </w:r>
    </w:p>
    <w:p>
      <w:pPr>
        <w:pStyle w:val="FirstParagraph"/>
      </w:pPr>
      <w:r>
        <w:t xml:space="preserve">This is infrastructure, not coursework. Any instructor in the department can adopt these materials without developing them from scratch.</w:t>
      </w:r>
    </w:p>
    <w:p>
      <w:r>
        <w:pict>
          <v:rect style="width:0;height:1.5pt" o:hralign="center" o:hrstd="t" o:hr="t"/>
        </w:pict>
      </w:r>
    </w:p>
    <w:bookmarkEnd w:id="26"/>
    <w:bookmarkEnd w:id="27"/>
    <w:bookmarkStart w:id="28" w:name="Xcca662ef8e09cd0dbcbbc528043b9c695c79221"/>
    <w:p>
      <w:pPr>
        <w:pStyle w:val="Heading2"/>
      </w:pPr>
      <w:r>
        <w:t xml:space="preserve">Assessment: Why This Exceeds Minimum Expectations</w:t>
      </w:r>
    </w:p>
    <w:p>
      <w:pPr>
        <w:pStyle w:val="FirstParagraph"/>
      </w:pPr>
      <w:r>
        <w:t xml:space="preserve">The stated minimum for this objective was to create four instructional modules on branch strategy, peer review, and issue tracking. That minimum has been met.</w:t>
      </w:r>
    </w:p>
    <w:p>
      <w:pPr>
        <w:pStyle w:val="BodyText"/>
      </w:pPr>
      <w:r>
        <w:t xml:space="preserve">What distinguishes this outcome from minimum compliance is the nature of what was built. Minimum compliance produces four assignments. What was delivered is a</w:t>
      </w:r>
      <w:r>
        <w:t xml:space="preserve"> </w:t>
      </w:r>
      <w:r>
        <w:rPr>
          <w:b/>
          <w:bCs/>
        </w:rPr>
        <w:t xml:space="preserve">transferable pedagogical framework</w:t>
      </w:r>
      <w:r>
        <w:t xml:space="preserve"> </w:t>
      </w:r>
      <w:r>
        <w:t xml:space="preserve">grounded in peer-reviewed research, validated by quantifiable student outcomes, and positioned for adoption across the curriculum.</w:t>
      </w:r>
    </w:p>
    <w:p>
      <w:pPr>
        <w:pStyle w:val="BodyText"/>
      </w:pPr>
      <w:r>
        <w:t xml:space="preserve">Standard instruction in version control produces students who know Git commands. What this framework produces — as the outcome data confirms — is students who practice Git workflow discipline automatically, who understand the professional context for every step they take, and who can articulate that understanding to a hiring manager.</w:t>
      </w:r>
    </w:p>
    <w:p>
      <w:pPr>
        <w:pStyle w:val="BodyText"/>
      </w:pPr>
      <w:r>
        <w:t xml:space="preserve">The Garousi et al. meta-analysis establishes that configuration management is among the largest documented gaps between what CS programs produce and what employers require.</w:t>
      </w:r>
      <w:r>
        <w:t xml:space="preserve">[1]</w:t>
      </w:r>
      <w:r>
        <w:t xml:space="preserve"> </w:t>
      </w:r>
      <w:r>
        <w:t xml:space="preserve">This objective directly, measurably, and scalably addresses that gap. That is not minimum performance. That is the work a department does when it takes industry alignment seriously.</w:t>
      </w:r>
    </w:p>
    <w:p>
      <w:r>
        <w:pict>
          <v:rect style="width:0;height:1.5pt" o:hralign="center" o:hrstd="t" o:hr="t"/>
        </w:pict>
      </w:r>
    </w:p>
    <w:bookmarkEnd w:id="28"/>
    <w:bookmarkStart w:id="29" w:name="summary"/>
    <w:p>
      <w:pPr>
        <w:pStyle w:val="Heading2"/>
      </w:pPr>
      <w:r>
        <w:t xml:space="preserve">Summary</w:t>
      </w:r>
    </w:p>
    <w:tbl>
      <w:tblPr>
        <w:tblStyle w:val="Table"/>
        <w:tblW w:type="pct" w:w="5000"/>
        <w:tblLayout w:type="fixed"/>
        <w:tblLook w:firstRow="1" w:lastRow="0" w:firstColumn="0" w:lastColumn="0" w:noHBand="0" w:noVBand="0" w:val="0020"/>
      </w:tblPr>
      <w:tblGrid>
        <w:gridCol w:w="1387"/>
        <w:gridCol w:w="6532"/>
      </w:tblGrid>
      <w:tr>
        <w:trPr>
          <w:tblHeader w:val="on"/>
        </w:trPr>
        <w:tc>
          <w:tcPr/>
          <w:p>
            <w:pPr>
              <w:pStyle w:val="Compact"/>
            </w:pPr>
            <w:r>
              <w:t xml:space="preserve">Requirement</w:t>
            </w:r>
          </w:p>
        </w:tc>
        <w:tc>
          <w:tcPr/>
          <w:p>
            <w:pPr>
              <w:pStyle w:val="Compact"/>
            </w:pPr>
            <w:r>
              <w:t xml:space="preserve">Delivered</w:t>
            </w:r>
          </w:p>
        </w:tc>
      </w:tr>
      <w:tr>
        <w:tc>
          <w:tcPr/>
          <w:p>
            <w:pPr>
              <w:pStyle w:val="Compact"/>
            </w:pPr>
            <w:r>
              <w:t xml:space="preserve">1+ branch-and-merge assignments</w:t>
            </w:r>
          </w:p>
        </w:tc>
        <w:tc>
          <w:tcPr/>
          <w:p>
            <w:pPr>
              <w:pStyle w:val="Compact"/>
            </w:pPr>
            <w:r>
              <w:t xml:space="preserve">Three-phase exercise progression (solo → pair → full team) with sprint integration</w:t>
            </w:r>
          </w:p>
        </w:tc>
      </w:tr>
      <w:tr>
        <w:tc>
          <w:tcPr/>
          <w:p>
            <w:pPr>
              <w:pStyle w:val="Compact"/>
            </w:pPr>
            <w:r>
              <w:t xml:space="preserve">Self/peer review framework</w:t>
            </w:r>
          </w:p>
        </w:tc>
        <w:tc>
          <w:tcPr/>
          <w:p>
            <w:pPr>
              <w:pStyle w:val="Compact"/>
            </w:pPr>
            <w:r>
              <w:t xml:space="preserve">Four-category rubric system with self-review checklist, reviewer assessment, and response protocol</w:t>
            </w:r>
          </w:p>
        </w:tc>
      </w:tr>
      <w:tr>
        <w:tc>
          <w:tcPr/>
          <w:p>
            <w:pPr>
              <w:pStyle w:val="Compact"/>
            </w:pPr>
            <w:r>
              <w:t xml:space="preserve">Issue tracking integration</w:t>
            </w:r>
          </w:p>
        </w:tc>
        <w:tc>
          <w:tcPr/>
          <w:p>
            <w:pPr>
              <w:pStyle w:val="Compact"/>
            </w:pPr>
            <w:r>
              <w:t xml:space="preserve">Three-tier scaffolded implementation (INFRARED through GREEN); full sprint-lifecycle traceability</w:t>
            </w:r>
          </w:p>
        </w:tc>
      </w:tr>
      <w:tr>
        <w:tc>
          <w:tcPr/>
          <w:p>
            <w:pPr>
              <w:pStyle w:val="Compact"/>
            </w:pPr>
            <w:r>
              <w:rPr>
                <w:b/>
                <w:bCs/>
              </w:rPr>
              <w:t xml:space="preserve">Beyond requirements</w:t>
            </w:r>
          </w:p>
        </w:tc>
        <w:tc>
          <w:tcPr/>
          <w:p>
            <w:pPr>
              <w:pStyle w:val="Compac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29"/>
    <w:bookmarkStart w:id="30" w:name="references"/>
    <w:p>
      <w:pPr>
        <w:pStyle w:val="Heading2"/>
      </w:pPr>
      <w:r>
        <w:t xml:space="preserve">References</w:t>
      </w:r>
    </w:p>
    <w:p>
      <w:pPr>
        <w:pStyle w:val="Compact"/>
        <w:numPr>
          <w:ilvl w:val="0"/>
          <w:numId w:val="1005"/>
        </w:numPr>
      </w:pPr>
      <w:r>
        <w:t xml:space="preserve">Garousi, V., Giray, G., Tuzun, E., Catal, C., &amp; Felderer, M. (2020). Closing the gap between software engineering education and industrial needs.</w:t>
      </w:r>
      <w:r>
        <w:t xml:space="preserve"> </w:t>
      </w:r>
      <w:r>
        <w:rPr>
          <w:i/>
          <w:iCs/>
        </w:rPr>
        <w:t xml:space="preserve">IEEE Software, 37</w:t>
      </w:r>
      <w:r>
        <w:t xml:space="preserve">(2), 68–77. https://arxiv.org/pdf/1812.01954</w:t>
      </w:r>
    </w:p>
    <w:p>
      <w:pPr>
        <w:pStyle w:val="Compact"/>
        <w:numPr>
          <w:ilvl w:val="0"/>
          <w:numId w:val="1005"/>
        </w:numPr>
      </w:pPr>
      <w:r>
        <w:t xml:space="preserve">Stack Overflow. (2024).</w:t>
      </w:r>
      <w:r>
        <w:t xml:space="preserve"> </w:t>
      </w:r>
      <w:r>
        <w:rPr>
          <w:i/>
          <w:iCs/>
        </w:rPr>
        <w:t xml:space="preserve">Stack Overflow Developer Survey 2024</w:t>
      </w:r>
      <w:r>
        <w:t xml:space="preserve"> </w:t>
      </w:r>
      <w:r>
        <w:t xml:space="preserve">(n = 65,437). https://survey.stackoverflow.co/2024/</w:t>
      </w:r>
    </w:p>
    <w:p>
      <w:pPr>
        <w:pStyle w:val="Compact"/>
        <w:numPr>
          <w:ilvl w:val="0"/>
          <w:numId w:val="1005"/>
        </w:numPr>
      </w:pPr>
      <w:r>
        <w:t xml:space="preserve">GitHub. (2025).</w:t>
      </w:r>
      <w:r>
        <w:t xml:space="preserve"> </w:t>
      </w:r>
      <w:r>
        <w:rPr>
          <w:i/>
          <w:iCs/>
        </w:rPr>
        <w:t xml:space="preserve">Octoverse 2025: A new developer joins GitHub every second.</w:t>
      </w:r>
      <w:r>
        <w:t xml:space="preserve"> </w:t>
      </w:r>
      <w:r>
        <w:t xml:space="preserve">https://github.blog/news-insights/octoverse/octoverse-a-new-developer-joins-github-every-second-as-ai-leads-typescript-to-1/</w:t>
      </w:r>
    </w:p>
    <w:p>
      <w:pPr>
        <w:pStyle w:val="Compact"/>
        <w:numPr>
          <w:ilvl w:val="0"/>
          <w:numId w:val="1005"/>
        </w:numPr>
      </w:pPr>
      <w:r>
        <w:t xml:space="preserve">JetBrains &amp; GitKraken. (2024).</w:t>
      </w:r>
      <w:r>
        <w:t xml:space="preserve"> </w:t>
      </w:r>
      <w:r>
        <w:rPr>
          <w:i/>
          <w:iCs/>
        </w:rPr>
        <w:t xml:space="preserve">State of Git Collaboration Report.</w:t>
      </w:r>
      <w:r>
        <w:t xml:space="preserve"> </w:t>
      </w:r>
      <w:r>
        <w:t xml:space="preserve">https://blog.jetbrains.com/team/2024/03/05/are-dev-teams-surviving-or-thriving-in-2024-insights-from-jetbrains-and-gitkraken-s-state-of-git-collaboration-report/</w:t>
      </w:r>
    </w:p>
    <w:p>
      <w:pPr>
        <w:pStyle w:val="Compact"/>
        <w:numPr>
          <w:ilvl w:val="0"/>
          <w:numId w:val="1005"/>
        </w:numPr>
      </w:pPr>
      <w:r>
        <w:t xml:space="preserve">Shulman, L. S. (2005). Signature pedagogies in the professions.</w:t>
      </w:r>
      <w:r>
        <w:t xml:space="preserve"> </w:t>
      </w:r>
      <w:r>
        <w:rPr>
          <w:i/>
          <w:iCs/>
        </w:rPr>
        <w:t xml:space="preserve">Daedalus, 134</w:t>
      </w:r>
      <w:r>
        <w:t xml:space="preserve">(3), 52–59.</w:t>
      </w:r>
    </w:p>
    <w:p>
      <w:pPr>
        <w:pStyle w:val="Compact"/>
        <w:numPr>
          <w:ilvl w:val="0"/>
          <w:numId w:val="1005"/>
        </w:numPr>
      </w:pPr>
      <w:r>
        <w:t xml:space="preserve">Lave, J., &amp; Wenger, E. (1991).</w:t>
      </w:r>
      <w:r>
        <w:t xml:space="preserve"> </w:t>
      </w:r>
      <w:r>
        <w:rPr>
          <w:i/>
          <w:iCs/>
        </w:rPr>
        <w:t xml:space="preserve">Situated learning: Legitimate peripheral participation.</w:t>
      </w:r>
      <w:r>
        <w:t xml:space="preserve"> </w:t>
      </w:r>
      <w:r>
        <w:t xml:space="preserve">Cambridge University Press.</w:t>
      </w:r>
    </w:p>
    <w:p>
      <w:pPr>
        <w:pStyle w:val="Compact"/>
        <w:numPr>
          <w:ilvl w:val="0"/>
          <w:numId w:val="1005"/>
        </w:numPr>
      </w:pPr>
      <w:r>
        <w:t xml:space="preserve">Sadowski, C., Söderberg, E., Church, L., Sipko, M., &amp; Bacchelli, A. (2018). Modern code review: A case study at Google.</w:t>
      </w:r>
      <w:r>
        <w:t xml:space="preserve"> </w:t>
      </w:r>
      <w:r>
        <w:rPr>
          <w:i/>
          <w:iCs/>
        </w:rPr>
        <w:t xml:space="preserve">ICSE-SEIP ’18</w:t>
      </w:r>
      <w:r>
        <w:t xml:space="preserve">, 181–190. https://doi.org/10.1145/3183519.3183525</w:t>
      </w:r>
    </w:p>
    <w:p>
      <w:pPr>
        <w:pStyle w:val="Compact"/>
        <w:numPr>
          <w:ilvl w:val="0"/>
          <w:numId w:val="1005"/>
        </w:numPr>
      </w:pPr>
      <w:r>
        <w:t xml:space="preserve">Bacchelli, A., &amp; Bird, C. (2013). Expectations, outcomes, and challenges of modern code review.</w:t>
      </w:r>
      <w:r>
        <w:t xml:space="preserve"> </w:t>
      </w:r>
      <w:r>
        <w:rPr>
          <w:i/>
          <w:iCs/>
        </w:rPr>
        <w:t xml:space="preserve">ICSE ’13</w:t>
      </w:r>
      <w:r>
        <w:t xml:space="preserve">, 712–721. https://doi.org/10.1109/ICSE.2013.6606617</w:t>
      </w:r>
    </w:p>
    <w:p>
      <w:pPr>
        <w:pStyle w:val="Compact"/>
        <w:numPr>
          <w:ilvl w:val="0"/>
          <w:numId w:val="1005"/>
        </w:numPr>
      </w:pPr>
      <w:r>
        <w:t xml:space="preserve">SmartBear. (2021).</w:t>
      </w:r>
      <w:r>
        <w:t xml:space="preserve"> </w:t>
      </w:r>
      <w:r>
        <w:rPr>
          <w:i/>
          <w:iCs/>
        </w:rPr>
        <w:t xml:space="preserve">State of software quality: Code review</w:t>
      </w:r>
      <w:r>
        <w:t xml:space="preserve"> </w:t>
      </w:r>
      <w:r>
        <w:t xml:space="preserve">(8th annual report, n ≈ 800). https://smartbear.com/blog/top-10-insights-on-the-state-of-code-review/</w:t>
      </w:r>
    </w:p>
    <w:p>
      <w:pPr>
        <w:pStyle w:val="Compact"/>
        <w:numPr>
          <w:ilvl w:val="0"/>
          <w:numId w:val="1005"/>
        </w:numPr>
      </w:pPr>
      <w:r>
        <w:t xml:space="preserve">Indriasari, T. D., Luxton-Reilly, A., &amp; Denny, P. (2020). A review of peer code review in higher education.</w:t>
      </w:r>
      <w:r>
        <w:t xml:space="preserve"> </w:t>
      </w:r>
      <w:r>
        <w:rPr>
          <w:i/>
          <w:iCs/>
        </w:rPr>
        <w:t xml:space="preserve">ACM Transactions on Computing Education, 20</w:t>
      </w:r>
      <w:r>
        <w:t xml:space="preserve">(3), Article 22. https://doi.org/10.1145/3403935</w:t>
      </w:r>
    </w:p>
    <w:p>
      <w:pPr>
        <w:pStyle w:val="Compact"/>
        <w:numPr>
          <w:ilvl w:val="0"/>
          <w:numId w:val="1005"/>
        </w:numPr>
      </w:pPr>
      <w:r>
        <w:t xml:space="preserve">McDowell, C., Werner, L., Bullock, H. E., &amp; Fernald, J. (2006). Pair programming improves student retention, confidence, and program quality.</w:t>
      </w:r>
      <w:r>
        <w:t xml:space="preserve"> </w:t>
      </w:r>
      <w:r>
        <w:rPr>
          <w:i/>
          <w:iCs/>
        </w:rPr>
        <w:t xml:space="preserve">Communications of the ACM, 49</w:t>
      </w:r>
      <w:r>
        <w:t xml:space="preserve">(8), 90–95. https://doi.org/10.1145/1145287.1145293</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2026-05-16T19:13:36Z</dcterms:created>
  <dcterms:modified xsi:type="dcterms:W3CDTF">2026-05-16T19:13:36Z</dcterms:modified>
</cp:coreProperties>
</file>

<file path=docProps/custom.xml><?xml version="1.0" encoding="utf-8"?>
<Properties xmlns="http://schemas.openxmlformats.org/officeDocument/2006/custom-properties" xmlns:vt="http://schemas.openxmlformats.org/officeDocument/2006/docPropsVTypes"/>
</file>