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 (plus Objective Zero)</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w:t>
            </w:r>
          </w:p>
        </w:tc>
      </w:tr>
      <w:tr>
        <w:tc>
          <w:tcPr/>
          <w:p>
            <w:pPr>
              <w:pStyle w:val="Compact"/>
            </w:pPr>
            <w:r>
              <w:t xml:space="preserve">Cross-departmental milestone completion</w:t>
            </w:r>
          </w:p>
        </w:tc>
        <w:tc>
          <w:tcPr/>
          <w:p>
            <w:pPr>
              <w:pStyle w:val="Compact"/>
            </w:pPr>
            <w:r>
              <w:t xml:space="preserve">100%</w:t>
            </w:r>
          </w:p>
        </w:tc>
      </w:tr>
      <w:tr>
        <w:tc>
          <w:tcPr/>
          <w:p>
            <w:pPr>
              <w:pStyle w:val="Compact"/>
            </w:pPr>
            <w:r>
              <w:t xml:space="preserve">Average collaboration rubric score (Obj. 1)</w:t>
            </w:r>
          </w:p>
        </w:tc>
        <w:tc>
          <w:tcPr/>
          <w:p>
            <w:pPr>
              <w:pStyle w:val="Compact"/>
            </w:pPr>
            <w:r>
              <w:t xml:space="preserve">87 / 100</w:t>
            </w:r>
          </w:p>
        </w:tc>
      </w:tr>
      <w:tr>
        <w:tc>
          <w:tcPr/>
          <w:p>
            <w:pPr>
              <w:pStyle w:val="Compact"/>
            </w:pPr>
            <w:r>
              <w:t xml:space="preserve">Students creating issues before code by Sprint 2 (Obj. 2)</w:t>
            </w:r>
          </w:p>
        </w:tc>
        <w:tc>
          <w:tcPr/>
          <w:p>
            <w:pPr>
              <w:pStyle w:val="Compact"/>
            </w:pPr>
            <w:r>
              <w:t xml:space="preserve">100%</w:t>
            </w:r>
          </w:p>
        </w:tc>
      </w:tr>
      <w:tr>
        <w:tc>
          <w:tcPr/>
          <w:p>
            <w:pPr>
              <w:pStyle w:val="Compact"/>
            </w:pPr>
            <w:r>
              <w:t xml:space="preserve">Pull requests properly linked to tracked issues (Obj. 2)</w:t>
            </w:r>
          </w:p>
        </w:tc>
        <w:tc>
          <w:tcPr/>
          <w:p>
            <w:pPr>
              <w:pStyle w:val="Compact"/>
            </w:pPr>
            <w:r>
              <w:t xml:space="preserve">95%</w:t>
            </w:r>
          </w:p>
        </w:tc>
      </w:tr>
      <w:tr>
        <w:tc>
          <w:tcPr/>
          <w:p>
            <w:pPr>
              <w:pStyle w:val="Compact"/>
            </w:pPr>
            <w:r>
              <w:t xml:space="preserve">Merge conflicts handled without instructor intervention (Obj. 2)</w:t>
            </w:r>
          </w:p>
        </w:tc>
        <w:tc>
          <w:tcPr/>
          <w:p>
            <w:pPr>
              <w:pStyle w:val="Compact"/>
            </w:pPr>
            <w:r>
              <w:t xml:space="preserve">89%</w:t>
            </w:r>
          </w:p>
        </w:tc>
      </w:tr>
      <w:tr>
        <w:tc>
          <w:tcPr/>
          <w:p>
            <w:pPr>
              <w:pStyle w:val="Compact"/>
            </w:pPr>
            <w:r>
              <w:t xml:space="preserve">Work lost to Git mistakes across the term (Obj. 2)</w:t>
            </w:r>
          </w:p>
        </w:tc>
        <w:tc>
          <w:tcPr/>
          <w:p>
            <w:pPr>
              <w:pStyle w:val="Compact"/>
            </w:pPr>
            <w:r>
              <w:t xml:space="preserve">0</w:t>
            </w:r>
          </w:p>
        </w:tc>
      </w:tr>
      <w:tr>
        <w:tc>
          <w:tcPr/>
          <w:p>
            <w:pPr>
              <w:pStyle w:val="Compact"/>
            </w:pPr>
            <w:r>
              <w:t xml:space="preserve">Average peer review score (Obj. 2)</w:t>
            </w:r>
          </w:p>
        </w:tc>
        <w:tc>
          <w:tcPr/>
          <w:p>
            <w:pPr>
              <w:pStyle w:val="Compact"/>
            </w:pPr>
            <w:r>
              <w:t xml:space="preserve">85 / 100</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w:t>
            </w:r>
          </w:p>
        </w:tc>
      </w:tr>
      <w:tr>
        <w:tc>
          <w:tcPr/>
          <w:p>
            <w:pPr>
              <w:pStyle w:val="Compact"/>
            </w:pPr>
            <w:r>
              <w:t xml:space="preserve">Dilts neurological levels addressed by the framework (Obj. 0)</w:t>
            </w:r>
          </w:p>
        </w:tc>
        <w:tc>
          <w:tcPr/>
          <w:p>
            <w:pPr>
              <w:pStyle w:val="Compact"/>
            </w:pPr>
            <w:r>
              <w:t xml:space="preserve">6 of 6</w:t>
            </w:r>
          </w:p>
        </w:tc>
      </w:tr>
    </w:tbl>
    <w:p>
      <w:r>
        <w:pict>
          <v:rect style="width:0;height:1.5pt" o:hralign="center" o:hrstd="t" o:hr="t"/>
        </w:pict>
      </w:r>
    </w:p>
    <w:bookmarkEnd w:id="10"/>
    <w:bookmarkStart w:id="11"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
          <w:iCs/>
        </w:rPr>
        <w:t xml:space="preserve">Sauce &amp; Spoon</w:t>
      </w:r>
      <w:r>
        <w:t xml:space="preserve">, asks students to manage a fictional restaurant. Thousands of practitioners have completed it. It is a well-regarded credential.</w:t>
      </w:r>
      <w:r>
        <w:t xml:space="preserve"> </w:t>
      </w:r>
      <w:r>
        <w:rPr>
          <w:b/>
          <w:bCs/>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11"/>
    <w:bookmarkStart w:id="12"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with</w:t>
      </w:r>
      <w:r>
        <w:t xml:space="preserve"> </w:t>
      </w:r>
      <w:r>
        <w:rPr>
          <w:b/>
          <w:bCs/>
        </w:rPr>
        <w:t xml:space="preserve">Chair (DT)</w:t>
      </w:r>
      <w:r>
        <w:t xml:space="preserve"> </w:t>
      </w:r>
      <w:r>
        <w:t xml:space="preserve">— designed, built, and shipped a tool detecting ghost-student fraud and anomalous enrollment patterns across the college’s ~12,000 student records. Tool delivered May 2026; all stakeholder-identified detection signals implemented as working capabilities; manual review burden reduced from ~12,000 records to a tractable flagged subset. The contributor’s role on this team objective was project management, Agile/Scrum mentoring, requirements gathering, and documentation support — applying the methodology codified in Objectives 1 and 2 (structured briefs, milestone-anchored handoffs, Sacred Workflow discipline) to a live institutional project aligned with the U.S. Department of Education’s mid-2025 identity-verification mandates and ahead of the Fall 2026 enrollment cycle. Full credit for technical design and build belongs to the development team. The regional threat is documented and prosecuted — the $4.7M Melvin case (sentenced June 2025) named FTCC directly.</w:t>
      </w:r>
    </w:p>
    <w:p>
      <w:pPr>
        <w:pStyle w:val="BodyText"/>
      </w:pPr>
      <w:r>
        <w:rPr>
          <w:b/>
          <w:bCs/>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
          <w:bCs/>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12"/>
    <w:bookmarkStart w:id="13"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2026-05-18T13:42:46Z</dcterms:created>
  <dcterms:modified xsi:type="dcterms:W3CDTF">2026-05-18T13:42:46Z</dcterms:modified>
</cp:coreProperties>
</file>

<file path=docProps/custom.xml><?xml version="1.0" encoding="utf-8"?>
<Properties xmlns="http://schemas.openxmlformats.org/officeDocument/2006/custom-properties" xmlns:vt="http://schemas.openxmlformats.org/officeDocument/2006/docPropsVTypes"/>
</file>