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6033da6e6e6ab42af6aa23972fd6adf8c7bac7"/>
    <w:p>
      <w:pPr>
        <w:pStyle w:val="Heading1"/>
      </w:pPr>
      <w:r>
        <w:t xml:space="preserve">Objective 2: Source Control &amp; Version Control (SCVC) Instructional Modules</w:t>
      </w:r>
    </w:p>
    <w:p>
      <w:pPr>
        <w:pStyle w:val="FirstParagraph"/>
      </w:pPr>
      <w:r>
        <w:rPr>
          <w:b/>
          <w:bCs/>
        </w:rPr>
        <w:t xml:space="preserve">Instructor:</w:t>
      </w:r>
      <w:r>
        <w:t xml:space="preserve"> </w:t>
      </w:r>
      <w:r>
        <w:t xml:space="preserve">[REDACTED]</w:t>
      </w:r>
      <w:r>
        <w:t xml:space="preserve"> </w:t>
      </w:r>
      <w:r>
        <w:rPr>
          <w:b/>
          <w:bCs/>
        </w:rPr>
        <w:t xml:space="preserve">Course(s):</w:t>
      </w:r>
      <w:r>
        <w:t xml:space="preserve"> </w:t>
      </w:r>
      <w:r>
        <w:t xml:space="preserve">CSC 289 (Software Development Capstone), CTS 285 (Web Application Development)</w:t>
      </w:r>
      <w:r>
        <w:t xml:space="preserve"> </w:t>
      </w:r>
      <w:r>
        <w:rPr>
          <w:b/>
          <w:bCs/>
        </w:rPr>
        <w:t xml:space="preserve">Evaluation Period:</w:t>
      </w:r>
      <w:r>
        <w:t xml:space="preserve"> </w:t>
      </w:r>
      <w:r>
        <w:t xml:space="preserve">Spring 2026</w:t>
      </w:r>
      <w:r>
        <w:t xml:space="preserve"> </w:t>
      </w:r>
      <w:r>
        <w:rPr>
          <w:b/>
          <w:bCs/>
        </w:rPr>
        <w:t xml:space="preserve">Objective Status:</w:t>
      </w:r>
      <w:r>
        <w:t xml:space="preserve"> </w:t>
      </w:r>
      <w:r>
        <w:t xml:space="preserve">Achieved and exceeded.</w:t>
      </w:r>
    </w:p>
    <w:p>
      <w:r>
        <w:pict>
          <v:rect style="width:0;height:1.5pt" o:hralign="center" o:hrstd="t" o:hr="t"/>
        </w:pict>
      </w:r>
    </w:p>
    <w:bookmarkStart w:id="9" w:name="objective-statement"/>
    <w:p>
      <w:pPr>
        <w:pStyle w:val="Heading2"/>
      </w:pPr>
      <w:r>
        <w:t xml:space="preserve">Objective Statement</w:t>
      </w:r>
    </w:p>
    <w:p>
      <w:pPr>
        <w:pStyle w:val="FirstParagraph"/>
      </w:pPr>
      <w:r>
        <w:rPr>
          <w:b/>
          <w:bCs/>
        </w:rPr>
        <w:t xml:space="preserve">Purpose:</w:t>
      </w:r>
      <w:r>
        <w:t xml:space="preserve"> </w:t>
      </w:r>
      <w:r>
        <w:t xml:space="preserve">Develop four instructional modules covering foundational source control and collaborative development practices — issue tracking, pull request workflow, branch-and-merge strategy, and self/peer code review — along with corresponding hands-on exercises and assessment instruments.</w:t>
      </w:r>
    </w:p>
    <w:p>
      <w:pPr>
        <w:pStyle w:val="BodyText"/>
      </w:pPr>
      <w:r>
        <w:rPr>
          <w:b/>
          <w:bCs/>
        </w:rPr>
        <w:t xml:space="preserve">Stated Requirements:</w:t>
      </w:r>
    </w:p>
    <w:p>
      <w:pPr>
        <w:pStyle w:val="Compact"/>
        <w:numPr>
          <w:ilvl w:val="0"/>
          <w:numId w:val="1001"/>
        </w:numPr>
      </w:pPr>
      <w:r>
        <w:t xml:space="preserve">Develop 1+ assignments on branch and merge strategies</w:t>
      </w:r>
    </w:p>
    <w:p>
      <w:pPr>
        <w:pStyle w:val="Compact"/>
        <w:numPr>
          <w:ilvl w:val="0"/>
          <w:numId w:val="1001"/>
        </w:numPr>
      </w:pPr>
      <w:r>
        <w:t xml:space="preserve">Create and implement a self/peer review framework for code quality</w:t>
      </w:r>
    </w:p>
    <w:p>
      <w:pPr>
        <w:pStyle w:val="Compact"/>
        <w:numPr>
          <w:ilvl w:val="0"/>
          <w:numId w:val="1001"/>
        </w:numPr>
      </w:pPr>
      <w:r>
        <w:t xml:space="preserve">Integrate issue tracking with the development workflow</w:t>
      </w:r>
    </w:p>
    <w:p>
      <w:pPr>
        <w:pStyle w:val="FirstParagraph"/>
      </w:pPr>
      <w:r>
        <w:rPr>
          <w:b/>
          <w:bCs/>
        </w:rPr>
        <w:t xml:space="preserve">Outcome:</w:t>
      </w:r>
      <w:r>
        <w:t xml:space="preserve"> </w:t>
      </w:r>
      <w:r>
        <w:t xml:space="preserve">All three stated requirements were met. More significantly, what was delivered is not a set of discrete assignments but a transferable pedagogical framework now operating across multiple courses and positioned for institutional adoption.</w:t>
      </w:r>
    </w:p>
    <w:p>
      <w:r>
        <w:pict>
          <v:rect style="width:0;height:1.5pt" o:hralign="center" o:hrstd="t" o:hr="t"/>
        </w:pict>
      </w:r>
    </w:p>
    <w:bookmarkEnd w:id="9"/>
    <w:bookmarkStart w:id="12" w:name="the-problem-this-objective-solves"/>
    <w:p>
      <w:pPr>
        <w:pStyle w:val="Heading2"/>
      </w:pPr>
      <w:r>
        <w:t xml:space="preserve">The Problem This Objective Solves</w:t>
      </w:r>
    </w:p>
    <w:bookmarkStart w:id="10" w:name="X72eaf32448bc998d77a5d6455b59dbc811f0b28"/>
    <w:p>
      <w:pPr>
        <w:pStyle w:val="Heading3"/>
      </w:pPr>
      <w:r>
        <w:t xml:space="preserve">Why Version Control Workflow Is a Workforce Issue, Not Just a Technical Skill</w:t>
      </w:r>
    </w:p>
    <w:p>
      <w:pPr>
        <w:pStyle w:val="FirstParagraph"/>
      </w:pPr>
      <w:r>
        <w:t xml:space="preserve">Anyone who has reviewed a junior developer’s onboarding experience knows that knowing Git commands and practicing Git workflow are not the same thing — and employers have become precise about that distinction.</w:t>
      </w:r>
    </w:p>
    <w:p>
      <w:pPr>
        <w:pStyle w:val="BodyText"/>
      </w:pPr>
      <w:r>
        <w:t xml:space="preserve">Garousi et al.’s 2020 systematic review in</w:t>
      </w:r>
      <w:r>
        <w:t xml:space="preserve"> </w:t>
      </w:r>
      <w:r>
        <w:rPr>
          <w:i/>
          <w:iCs/>
        </w:rPr>
        <w:t xml:space="preserve">IEEE Software</w:t>
      </w:r>
      <w:r>
        <w:t xml:space="preserve">, synthesizing 33 empirical studies across 12 countries and more than 4,000 data points, identified</w:t>
      </w:r>
      <w:r>
        <w:t xml:space="preserve"> </w:t>
      </w:r>
      <w:r>
        <w:rPr>
          <w:b/>
          <w:bCs/>
        </w:rPr>
        <w:t xml:space="preserve">configuration management</w:t>
      </w:r>
      <w:r>
        <w:t xml:space="preserve"> </w:t>
      </w:r>
      <w:r>
        <w:t xml:space="preserve">— the professional term for version control workflow — as one of the largest documented gaps between what CS graduates know and what employers actually need.</w:t>
      </w:r>
      <w:r>
        <w:t xml:space="preserve">[1]</w:t>
      </w:r>
      <w:r>
        <w:t xml:space="preserve"> </w:t>
      </w:r>
      <w:r>
        <w:t xml:space="preserve">This is not an anecdotal concern. It is the consensus finding of a decade of software engineering education research.</w:t>
      </w:r>
    </w:p>
    <w:p>
      <w:pPr>
        <w:pStyle w:val="BodyText"/>
      </w:pPr>
      <w:r>
        <w:t xml:space="preserve">The scale of the gap becomes vivid when viewed against industry-use data. The Stack Overflow Developer Survey 2024 (n = 65,437 professional developers across 185 countries) reports that</w:t>
      </w:r>
      <w:r>
        <w:t xml:space="preserve"> </w:t>
      </w:r>
      <w:r>
        <w:rPr>
          <w:b/>
          <w:bCs/>
        </w:rPr>
        <w:t xml:space="preserve">93% of professional developers use Git</w:t>
      </w:r>
      <w:r>
        <w:t xml:space="preserve"> </w:t>
      </w:r>
      <w:r>
        <w:t xml:space="preserve">as their primary version control system.</w:t>
      </w:r>
      <w:r>
        <w:t xml:space="preserve">[2]</w:t>
      </w:r>
      <w:r>
        <w:t xml:space="preserve"> </w:t>
      </w:r>
      <w:r>
        <w:t xml:space="preserve">GitHub’s Octoverse 2025 report documents that developers merged</w:t>
      </w:r>
      <w:r>
        <w:t xml:space="preserve"> </w:t>
      </w:r>
      <w:r>
        <w:rPr>
          <w:b/>
          <w:bCs/>
        </w:rPr>
        <w:t xml:space="preserve">43.2 million pull requests per month</w:t>
      </w:r>
      <w:r>
        <w:t xml:space="preserve"> </w:t>
      </w:r>
      <w:r>
        <w:t xml:space="preserve">on average — a 23% year-over-year increase — across the platform’s 180 million active users.</w:t>
      </w:r>
      <w:r>
        <w:t xml:space="preserve">[3]</w:t>
      </w:r>
      <w:r>
        <w:t xml:space="preserve"> </w:t>
      </w:r>
      <w:r>
        <w:t xml:space="preserve">The pull request is not one workflow among many. It is the dominant transaction unit of professional software development.</w:t>
      </w:r>
    </w:p>
    <w:p>
      <w:pPr>
        <w:pStyle w:val="BodyText"/>
      </w:pPr>
      <w:r>
        <w:t xml:space="preserve">The pedagogical implication is straightforward: a capstone course whose students graduate without fluency in PR-based, issue-tracked, branch-managed collaboration is producing graduates who are literate in code but unprepared for the environment in which that code is written. This objective addresses that gap directly.</w:t>
      </w:r>
    </w:p>
    <w:bookmarkEnd w:id="10"/>
    <w:bookmarkStart w:id="11" w:name="the-gap-standard-instruction-leaves-open"/>
    <w:p>
      <w:pPr>
        <w:pStyle w:val="Heading3"/>
      </w:pPr>
      <w:r>
        <w:t xml:space="preserve">The Gap Standard Instruction Leaves Open</w:t>
      </w:r>
    </w:p>
    <w:p>
      <w:pPr>
        <w:pStyle w:val="FirstParagraph"/>
      </w:pPr>
      <w:r>
        <w:t xml:space="preserve">Traditional CS instruction focuses, reasonably, on the technical mechanics of Git: commits, branches, pushes, and merges. What it rarely teaches is the</w:t>
      </w:r>
      <w:r>
        <w:t xml:space="preserve"> </w:t>
      </w:r>
      <w:r>
        <w:rPr>
          <w:i/>
          <w:iCs/>
        </w:rPr>
        <w:t xml:space="preserve">behavioral discipline</w:t>
      </w:r>
      <w:r>
        <w:t xml:space="preserve"> </w:t>
      </w:r>
      <w:r>
        <w:t xml:space="preserve">around those mechanics — the habits that prevent lost work, enable parallel development, and support professional accountability. Students learn</w:t>
      </w:r>
      <w:r>
        <w:t xml:space="preserve"> </w:t>
      </w:r>
      <w:r>
        <w:rPr>
          <w:rStyle w:val="VerbatimChar"/>
        </w:rPr>
        <w:t xml:space="preserve">git checkout -b</w:t>
      </w:r>
      <w:r>
        <w:t xml:space="preserve">; they do not learn why branching before touching main is a non-negotiable professional norm.</w:t>
      </w:r>
    </w:p>
    <w:p>
      <w:pPr>
        <w:pStyle w:val="BodyText"/>
      </w:pPr>
      <w:r>
        <w:t xml:space="preserve">This distinction matters because the industry measures it. The JetBrains/GitKraken 2024</w:t>
      </w:r>
      <w:r>
        <w:t xml:space="preserve"> </w:t>
      </w:r>
      <w:r>
        <w:rPr>
          <w:i/>
          <w:iCs/>
        </w:rPr>
        <w:t xml:space="preserve">State of Git Collaboration Report</w:t>
      </w:r>
      <w:r>
        <w:t xml:space="preserve"> </w:t>
      </w:r>
      <w:r>
        <w:t xml:space="preserve">— drawing on responses from over 150,000 developers — identifies poor communication and lack of context between code changes and their business rationale (i.e., disconnected issue tracking) as the leading productivity drain in software teams.</w:t>
      </w:r>
      <w:r>
        <w:t xml:space="preserve">[4]</w:t>
      </w:r>
      <w:r>
        <w:t xml:space="preserve"> </w:t>
      </w:r>
      <w:r>
        <w:t xml:space="preserve">Teaching the commands without teaching the workflow produces exactly this outcome at scale: technically capable developers who are difficult to collaborate with.</w:t>
      </w:r>
    </w:p>
    <w:p>
      <w:pPr>
        <w:pStyle w:val="BodyText"/>
      </w:pPr>
      <w:r>
        <w:t xml:space="preserve">The modules created under this objective were designed to close that specific gap.</w:t>
      </w:r>
    </w:p>
    <w:p>
      <w:r>
        <w:pict>
          <v:rect style="width:0;height:1.5pt" o:hralign="center" o:hrstd="t" o:hr="t"/>
        </w:pict>
      </w:r>
    </w:p>
    <w:bookmarkEnd w:id="11"/>
    <w:bookmarkEnd w:id="12"/>
    <w:bookmarkStart w:id="15" w:name="framework-the-sacred-workflow"/>
    <w:p>
      <w:pPr>
        <w:pStyle w:val="Heading2"/>
      </w:pPr>
      <w:r>
        <w:t xml:space="preserve">Framework: The Sacred Workflow</w:t>
      </w:r>
    </w:p>
    <w:bookmarkStart w:id="13" w:name="design-rationale"/>
    <w:p>
      <w:pPr>
        <w:pStyle w:val="Heading3"/>
      </w:pPr>
      <w:r>
        <w:t xml:space="preserve">Design Rationale</w:t>
      </w:r>
    </w:p>
    <w:p>
      <w:pPr>
        <w:pStyle w:val="FirstParagraph"/>
      </w:pPr>
      <w:r>
        <w:t xml:space="preserve">The four modules are organized under a single coherent framework called the</w:t>
      </w:r>
      <w:r>
        <w:t xml:space="preserve"> </w:t>
      </w:r>
      <w:r>
        <w:rPr>
          <w:b/>
          <w:bCs/>
        </w:rPr>
        <w:t xml:space="preserve">Sacred Workflow</w:t>
      </w:r>
      <w:r>
        <w:t xml:space="preserve"> </w:t>
      </w:r>
      <w:r>
        <w:t xml:space="preserve">— a ceremonial framing of the standard professional development process. This framing is a deliberate pedagogical choice, not an aesthetic one, and it is grounded in well-established learning theory.</w:t>
      </w:r>
    </w:p>
    <w:p>
      <w:pPr>
        <w:pStyle w:val="BodyText"/>
      </w:pPr>
      <w:r>
        <w:t xml:space="preserve">Lee Shulman’s foundational work on</w:t>
      </w:r>
      <w:r>
        <w:t xml:space="preserve"> </w:t>
      </w:r>
      <w:r>
        <w:rPr>
          <w:b/>
          <w:bCs/>
        </w:rPr>
        <w:t xml:space="preserve">signature pedagogies</w:t>
      </w:r>
      <w:r>
        <w:t xml:space="preserve"> </w:t>
      </w:r>
      <w:r>
        <w:t xml:space="preserve">in professional education argues that the most effective training for professional practice is not content delivery but the ritualized enactment of professional acts — what Shulman calls pedagogies that develop</w:t>
      </w:r>
      <w:r>
        <w:t xml:space="preserve"> </w:t>
      </w:r>
      <w:r>
        <w:t xml:space="preserve">“habits of the mind, habits of the heart, and habits of the hand.”</w:t>
      </w:r>
      <w:r>
        <w:t xml:space="preserve">[5]</w:t>
      </w:r>
      <w:r>
        <w:t xml:space="preserve"> </w:t>
      </w:r>
      <w:r>
        <w:t xml:space="preserve">The Sacred Workflow operationalizes this principle. By giving the workflow a name, a sequence, and a set of explicit commitments, students are not just learning a tool — they are being inducted into a community of practice.</w:t>
      </w:r>
    </w:p>
    <w:p>
      <w:pPr>
        <w:pStyle w:val="BodyText"/>
      </w:pPr>
      <w:r>
        <w:t xml:space="preserve">This is precisely the mechanism Lave and Wenger describe in</w:t>
      </w:r>
      <w:r>
        <w:t xml:space="preserve"> </w:t>
      </w:r>
      <w:r>
        <w:rPr>
          <w:i/>
          <w:iCs/>
        </w:rPr>
        <w:t xml:space="preserve">Situated Learning</w:t>
      </w:r>
      <w:r>
        <w:t xml:space="preserve"> </w:t>
      </w:r>
      <w:r>
        <w:t xml:space="preserve">(1991): newcomers become practitioners by performing the legitimate peripheral activities of the profession, not by studying those activities from a distance.</w:t>
      </w:r>
      <w:r>
        <w:t xml:space="preserve">[6]</w:t>
      </w:r>
      <w:r>
        <w:t xml:space="preserve"> </w:t>
      </w:r>
      <w:r>
        <w:t xml:space="preserve">Opening a draft PR before code is complete, linking commits to issue numbers, and conducting a structured peer review before merging — these are not classroom simulations of professional practice. They are professional practice, at reduced scale and reduced stakes.</w:t>
      </w:r>
    </w:p>
    <w:p>
      <w:pPr>
        <w:pStyle w:val="BodyText"/>
      </w:pPr>
      <w:r>
        <w:t xml:space="preserve">When students encounter these same workflows in their first jobs — and given GitHub’s 180 million active users, they will — they will not be encountering them for the first time. They will be continuing a practice they already know.</w:t>
      </w:r>
    </w:p>
    <w:bookmarkEnd w:id="13"/>
    <w:bookmarkStart w:id="14" w:name="the-five-commitments"/>
    <w:p>
      <w:pPr>
        <w:pStyle w:val="Heading3"/>
      </w:pPr>
      <w:r>
        <w:t xml:space="preserve">The Five Commitments</w:t>
      </w:r>
    </w:p>
    <w:p>
      <w:pPr>
        <w:pStyle w:val="FirstParagraph"/>
      </w:pPr>
      <w:r>
        <w:t xml:space="preserve">The Sacred Workflow is organized around five professional commitments that map to daily industry behavior:</w:t>
      </w:r>
    </w:p>
    <w:p>
      <w:pPr>
        <w:pStyle w:val="Compact"/>
        <w:numPr>
          <w:ilvl w:val="0"/>
          <w:numId w:val="1002"/>
        </w:numPr>
      </w:pPr>
      <w:r>
        <w:rPr>
          <w:b/>
          <w:bCs/>
        </w:rPr>
        <w:t xml:space="preserve">Create issues before writing code</w:t>
      </w:r>
      <w:r>
        <w:t xml:space="preserve"> </w:t>
      </w:r>
      <w:r>
        <w:t xml:space="preserve">— Work is tracked before it begins</w:t>
      </w:r>
    </w:p>
    <w:p>
      <w:pPr>
        <w:pStyle w:val="Compact"/>
        <w:numPr>
          <w:ilvl w:val="0"/>
          <w:numId w:val="1002"/>
        </w:numPr>
      </w:pPr>
      <w:r>
        <w:rPr>
          <w:b/>
          <w:bCs/>
        </w:rPr>
        <w:t xml:space="preserve">Branch before touching main</w:t>
      </w:r>
      <w:r>
        <w:t xml:space="preserve"> </w:t>
      </w:r>
      <w:r>
        <w:t xml:space="preserve">— No change reaches the integration branch without isolation</w:t>
      </w:r>
    </w:p>
    <w:p>
      <w:pPr>
        <w:pStyle w:val="Compact"/>
        <w:numPr>
          <w:ilvl w:val="0"/>
          <w:numId w:val="1002"/>
        </w:numPr>
      </w:pPr>
      <w:r>
        <w:rPr>
          <w:b/>
          <w:bCs/>
        </w:rPr>
        <w:t xml:space="preserve">Commit early and often</w:t>
      </w:r>
      <w:r>
        <w:t xml:space="preserve"> </w:t>
      </w:r>
      <w:r>
        <w:t xml:space="preserve">— Progress is preserved in small, reversible increments</w:t>
      </w:r>
    </w:p>
    <w:p>
      <w:pPr>
        <w:pStyle w:val="Compact"/>
        <w:numPr>
          <w:ilvl w:val="0"/>
          <w:numId w:val="1002"/>
        </w:numPr>
      </w:pPr>
      <w:r>
        <w:rPr>
          <w:b/>
          <w:bCs/>
        </w:rPr>
        <w:t xml:space="preserve">Write meaningful commit messages</w:t>
      </w:r>
      <w:r>
        <w:t xml:space="preserve"> </w:t>
      </w:r>
      <w:r>
        <w:t xml:space="preserve">— The history is documentation</w:t>
      </w:r>
    </w:p>
    <w:p>
      <w:pPr>
        <w:pStyle w:val="Compact"/>
        <w:numPr>
          <w:ilvl w:val="0"/>
          <w:numId w:val="1002"/>
        </w:numPr>
      </w:pPr>
      <w:r>
        <w:rPr>
          <w:b/>
          <w:bCs/>
        </w:rPr>
        <w:t xml:space="preserve">Review before merge</w:t>
      </w:r>
      <w:r>
        <w:t xml:space="preserve"> </w:t>
      </w:r>
      <w:r>
        <w:t xml:space="preserve">— No code enters the shared codebase without a quality gate</w:t>
      </w:r>
    </w:p>
    <w:p>
      <w:pPr>
        <w:pStyle w:val="FirstParagraph"/>
      </w:pPr>
      <w:r>
        <w:t xml:space="preserve">Each commitment corresponds to documented professional practice. Each is assessable. And because they are framed as commitments rather than rules, students relate to them as professional identity rather than compliance requirements.</w:t>
      </w:r>
    </w:p>
    <w:p>
      <w:r>
        <w:pict>
          <v:rect style="width:0;height:1.5pt" o:hralign="center" o:hrstd="t" o:hr="t"/>
        </w:pict>
      </w:r>
    </w:p>
    <w:bookmarkEnd w:id="14"/>
    <w:bookmarkEnd w:id="15"/>
    <w:bookmarkStart w:id="20" w:name="module-descriptions"/>
    <w:p>
      <w:pPr>
        <w:pStyle w:val="Heading2"/>
      </w:pPr>
      <w:r>
        <w:t xml:space="preserve">Module Descriptions</w:t>
      </w:r>
    </w:p>
    <w:bookmarkStart w:id="16" w:name="Xb0b962f346a299d1b0bf3f0627992ebb80198f4"/>
    <w:p>
      <w:pPr>
        <w:pStyle w:val="Heading3"/>
      </w:pPr>
      <w:r>
        <w:t xml:space="preserve">Module 1 — Issue Tracking as Work Documentation</w:t>
      </w:r>
    </w:p>
    <w:p>
      <w:pPr>
        <w:pStyle w:val="FirstParagraph"/>
      </w:pPr>
      <w:r>
        <w:rPr>
          <w:b/>
          <w:bCs/>
        </w:rPr>
        <w:t xml:space="preserve">Learning Objectives:</w:t>
      </w:r>
      <w:r>
        <w:t xml:space="preserve"> </w:t>
      </w:r>
      <w:r>
        <w:t xml:space="preserve">Translate requirements into actionable issue specifications; link commits and pull requests to issues for traceability; use labels and milestones for sprint organization.</w:t>
      </w:r>
    </w:p>
    <w:p>
      <w:pPr>
        <w:pStyle w:val="BodyText"/>
      </w:pPr>
      <w:r>
        <w:t xml:space="preserve">Students learn issue tracking not as administrative overhead but as the mechanism by which individual work connects to team goals. The three-tier implementation scaffolds this from structured (instructor-provided issue templates with guided fields) through generative (students decompose requirements into issues) to self-directed (students own the full issue lifecycle, including sprint milestone assignment).</w:t>
      </w:r>
    </w:p>
    <w:p>
      <w:pPr>
        <w:pStyle w:val="BodyText"/>
      </w:pPr>
      <w:r>
        <w:t xml:space="preserve">The issue template used in this course — user story, acceptance criteria, technical notes, and explicit definition of done — mirrors industry-standard formats used by professional teams on GitHub, Jira, and Linear. Students who arrive at an employer already fluent in this format reduce their onboarding time and signal professional maturity from day one.</w:t>
      </w:r>
    </w:p>
    <w:bookmarkEnd w:id="16"/>
    <w:bookmarkStart w:id="17" w:name="module-2-branch-and-merge-workflow"/>
    <w:p>
      <w:pPr>
        <w:pStyle w:val="Heading3"/>
      </w:pPr>
      <w:r>
        <w:t xml:space="preserve">Module 2 — Branch-and-Merge Workflow</w:t>
      </w:r>
    </w:p>
    <w:p>
      <w:pPr>
        <w:pStyle w:val="FirstParagraph"/>
      </w:pPr>
      <w:r>
        <w:rPr>
          <w:b/>
          <w:bCs/>
        </w:rPr>
        <w:t xml:space="preserve">Learning Objectives:</w:t>
      </w:r>
      <w:r>
        <w:t xml:space="preserve"> </w:t>
      </w:r>
      <w:r>
        <w:t xml:space="preserve">Isolate features in named branches following convention; commit incrementally with descriptive messages; open and manage pull requests through the full review-and-merge cycle; resolve merge conflicts without losing work.</w:t>
      </w:r>
    </w:p>
    <w:p>
      <w:pPr>
        <w:pStyle w:val="BodyText"/>
      </w:pPr>
      <w:r>
        <w:t xml:space="preserve">The hands-on exercise structure scaffolds complexity in three phases: solo individual practice (Solo Burger), pair collaboration with a live merge conflict scenario (Team Lunch), and full team parallel-branch development (Full Sprint). This progression mirrors how organizations of increasing size experience version control: sole contributor → small team → cross-functional team.</w:t>
      </w:r>
    </w:p>
    <w:p>
      <w:pPr>
        <w:pStyle w:val="BodyText"/>
      </w:pPr>
      <w:r>
        <w:t xml:space="preserve">Sadowski et al.’s 2018 study of code review practice at Google — covering more than 25,000 developers and 20,000 source changes per workday — found that the median change reviewed at Google involved fewer than 24 lines of code and completed review in under four hours.</w:t>
      </w:r>
      <w:r>
        <w:t xml:space="preserve">[7]</w:t>
      </w:r>
      <w:r>
        <w:t xml:space="preserve"> </w:t>
      </w:r>
      <w:r>
        <w:t xml:space="preserve">This finding shapes the module’s emphasis on</w:t>
      </w:r>
      <w:r>
        <w:t xml:space="preserve"> </w:t>
      </w:r>
      <w:r>
        <w:rPr>
          <w:i/>
          <w:iCs/>
        </w:rPr>
        <w:t xml:space="preserve">small, frequent commits with clear context</w:t>
      </w:r>
      <w:r>
        <w:t xml:space="preserve"> </w:t>
      </w:r>
      <w:r>
        <w:t xml:space="preserve">rather than large, infrequent batch submissions. Students learn to work at the scale and rhythm professional review requires.</w:t>
      </w:r>
    </w:p>
    <w:bookmarkEnd w:id="17"/>
    <w:bookmarkStart w:id="18" w:name="module-3-pull-request-process"/>
    <w:p>
      <w:pPr>
        <w:pStyle w:val="Heading3"/>
      </w:pPr>
      <w:r>
        <w:t xml:space="preserve">Module 3 — Pull Request Process</w:t>
      </w:r>
    </w:p>
    <w:p>
      <w:pPr>
        <w:pStyle w:val="FirstParagraph"/>
      </w:pPr>
      <w:r>
        <w:rPr>
          <w:b/>
          <w:bCs/>
        </w:rPr>
        <w:t xml:space="preserve">Learning Objectives:</w:t>
      </w:r>
      <w:r>
        <w:t xml:space="preserve"> </w:t>
      </w:r>
      <w:r>
        <w:t xml:space="preserve">Write PR descriptions that communicate context, not just changes; use draft PR status to solicit early feedback; iterate through review cycles as a normal part of development, not a sign of failure.</w:t>
      </w:r>
    </w:p>
    <w:p>
      <w:pPr>
        <w:pStyle w:val="BodyText"/>
      </w:pPr>
      <w:r>
        <w:t xml:space="preserve">The pull request is the unit of professional contribution — the moment at which individual work becomes team property. Teaching students to open PRs early, describe their intent clearly, and treat revision as standard process produces graduates who collaborate without friction.</w:t>
      </w:r>
    </w:p>
    <w:p>
      <w:pPr>
        <w:pStyle w:val="BodyText"/>
      </w:pPr>
      <w:r>
        <w:t xml:space="preserve">Of particular instructional importance is the</w:t>
      </w:r>
      <w:r>
        <w:t xml:space="preserve"> </w:t>
      </w:r>
      <w:r>
        <w:rPr>
          <w:b/>
          <w:bCs/>
        </w:rPr>
        <w:t xml:space="preserve">draft PR workflow</w:t>
      </w:r>
      <w:r>
        <w:t xml:space="preserve">: students learn to open a PR before their work is complete, flagging it as a discussion point rather than a submission. This practice, standard at companies like Google and Microsoft, interrupts the student habit of treating submission as a high-stakes, one-shot event. It normalizes iteration — a professional disposition that transfers far beyond version control.</w:t>
      </w:r>
    </w:p>
    <w:bookmarkEnd w:id="18"/>
    <w:bookmarkStart w:id="19" w:name="module-4-self-and-peer-code-review"/>
    <w:p>
      <w:pPr>
        <w:pStyle w:val="Heading3"/>
      </w:pPr>
      <w:r>
        <w:t xml:space="preserve">Module 4 — Self and Peer Code Review</w:t>
      </w:r>
    </w:p>
    <w:p>
      <w:pPr>
        <w:pStyle w:val="FirstParagraph"/>
      </w:pPr>
      <w:r>
        <w:rPr>
          <w:b/>
          <w:bCs/>
        </w:rPr>
        <w:t xml:space="preserve">Learning Objectives:</w:t>
      </w:r>
      <w:r>
        <w:t xml:space="preserve"> </w:t>
      </w:r>
      <w:r>
        <w:t xml:space="preserve">Conduct structured code reviews using consistent quality categories; provide feedback that is specific, actionable, and respectful; receive critique professionally and respond with follow-up commits or documented rationale.</w:t>
      </w:r>
    </w:p>
    <w:p>
      <w:pPr>
        <w:pStyle w:val="BodyText"/>
      </w:pPr>
      <w:r>
        <w:t xml:space="preserve">Review is assessed in four categories — functionality, readability, adherence to best practices, and improvement opportunities — matching the categorical frameworks documented in modern code review research. Bacchelli and Bird’s 2013 ICSE study, analyzing hundreds of review comments across Microsoft teams, found that while defect detection motivates review, its most significant outcomes are</w:t>
      </w:r>
      <w:r>
        <w:t xml:space="preserve"> </w:t>
      </w:r>
      <w:r>
        <w:rPr>
          <w:b/>
          <w:bCs/>
        </w:rPr>
        <w:t xml:space="preserve">knowledge transfer, increased team awareness, and the generation of alternative solutions</w:t>
      </w:r>
      <w:r>
        <w:t xml:space="preserve">.</w:t>
      </w:r>
      <w:r>
        <w:t xml:space="preserve">[8]</w:t>
      </w:r>
      <w:r>
        <w:t xml:space="preserve"> </w:t>
      </w:r>
      <w:r>
        <w:t xml:space="preserve">These outcomes are precisely what a capstone course should produce.</w:t>
      </w:r>
    </w:p>
    <w:p>
      <w:pPr>
        <w:pStyle w:val="BodyText"/>
      </w:pPr>
      <w:r>
        <w:t xml:space="preserve">The SmartBear</w:t>
      </w:r>
      <w:r>
        <w:t xml:space="preserve"> </w:t>
      </w:r>
      <w:r>
        <w:rPr>
          <w:i/>
          <w:iCs/>
        </w:rPr>
        <w:t xml:space="preserve">State of Code Review</w:t>
      </w:r>
      <w:r>
        <w:t xml:space="preserve"> </w:t>
      </w:r>
      <w:r>
        <w:t xml:space="preserve">survey — conducted annually across approximately 800 software professionals — has identified peer code review as the</w:t>
      </w:r>
      <w:r>
        <w:t xml:space="preserve"> </w:t>
      </w:r>
      <w:r>
        <w:rPr>
          <w:b/>
          <w:bCs/>
        </w:rPr>
        <w:t xml:space="preserve">number-one method for improving software quality for five consecutive years</w:t>
      </w:r>
      <w:r>
        <w:t xml:space="preserve">.</w:t>
      </w:r>
      <w:r>
        <w:t xml:space="preserve">[9]</w:t>
      </w:r>
      <w:r>
        <w:t xml:space="preserve"> </w:t>
      </w:r>
      <w:r>
        <w:t xml:space="preserve">Eighty percent of respondents satisfied with their software quality participate in tool-based code review with explicit guidelines.</w:t>
      </w:r>
      <w:r>
        <w:t xml:space="preserve">[9]</w:t>
      </w:r>
      <w:r>
        <w:t xml:space="preserve"> </w:t>
      </w:r>
      <w:r>
        <w:t xml:space="preserve">The capstone’s review framework provides exactly those guidelines, preparing students for an environment where review discipline is expected, not optional.</w:t>
      </w:r>
    </w:p>
    <w:p>
      <w:pPr>
        <w:pStyle w:val="BodyText"/>
      </w:pPr>
      <w:r>
        <w:t xml:space="preserve">The CS education research literature confirms the classroom effectiveness of this practice. Indriasari, Luxton-Reilly, and Denny’s 2020 systematic review in</w:t>
      </w:r>
      <w:r>
        <w:t xml:space="preserve"> </w:t>
      </w:r>
      <w:r>
        <w:rPr>
          <w:i/>
          <w:iCs/>
        </w:rPr>
        <w:t xml:space="preserve">ACM Transactions on Computing Education</w:t>
      </w:r>
      <w:r>
        <w:t xml:space="preserve"> </w:t>
      </w:r>
      <w:r>
        <w:t xml:space="preserve">— examining 51 empirical studies — found that peer code review in higher education consistently produces gains in</w:t>
      </w:r>
      <w:r>
        <w:t xml:space="preserve"> </w:t>
      </w:r>
      <w:r>
        <w:rPr>
          <w:b/>
          <w:bCs/>
        </w:rPr>
        <w:t xml:space="preserve">programming-related skill development, engagement, and communication competency</w:t>
      </w:r>
      <w:r>
        <w:t xml:space="preserve">.</w:t>
      </w:r>
      <w:r>
        <w:t xml:space="preserve">[10]</w:t>
      </w:r>
      <w:r>
        <w:t xml:space="preserve"> </w:t>
      </w:r>
      <w:r>
        <w:t xml:space="preserve">McDowell et al.’s foundational pair-programming research at UCSC further documents that collaborative code review correlates with improved retention, higher program quality, and increased likelihood of continuing in computer science — findings particularly relevant in a community college context where retention is an institutional priority.</w:t>
      </w:r>
      <w:r>
        <w:t xml:space="preserve">[11]</w:t>
      </w:r>
    </w:p>
    <w:p>
      <w:r>
        <w:pict>
          <v:rect style="width:0;height:1.5pt" o:hralign="center" o:hrstd="t" o:hr="t"/>
        </w:pict>
      </w:r>
    </w:p>
    <w:bookmarkEnd w:id="19"/>
    <w:bookmarkEnd w:id="20"/>
    <w:bookmarkStart w:id="21" w:name="X5d492f27f65a920b235ec8f8bd76600e12f8ca4"/>
    <w:p>
      <w:pPr>
        <w:pStyle w:val="Heading2"/>
      </w:pPr>
      <w:r>
        <w:t xml:space="preserve">Integration: The Complete Workflow in Practice</w:t>
      </w:r>
    </w:p>
    <w:p>
      <w:pPr>
        <w:pStyle w:val="FirstParagraph"/>
      </w:pPr>
      <w:r>
        <w:t xml:space="preserve">All four modules converge into a single end-to-end workflow that students practice repeatedly across the semester:</w:t>
      </w:r>
    </w:p>
    <w:p>
      <w:pPr>
        <w:pStyle w:val="SourceCode"/>
      </w:pPr>
      <w:r>
        <w:rPr>
          <w:rStyle w:val="VerbatimChar"/>
        </w:rPr>
        <w:t xml:space="preserve">Issue Created → Branch Made → Code Written → Commits Pushed →</w:t>
      </w:r>
      <w:r>
        <w:br/>
      </w:r>
      <w:r>
        <w:rPr>
          <w:rStyle w:val="VerbatimChar"/>
        </w:rPr>
        <w:t xml:space="preserve">Draft PR Opened → Self-Review → Peer Review → Changes Addressed →</w:t>
      </w:r>
      <w:r>
        <w:br/>
      </w:r>
      <w:r>
        <w:rPr>
          <w:rStyle w:val="VerbatimChar"/>
        </w:rPr>
        <w:t xml:space="preserve">PR Approved → Merge to Main → Issue Closed</w:t>
      </w:r>
    </w:p>
    <w:p>
      <w:pPr>
        <w:pStyle w:val="FirstParagraph"/>
      </w:pPr>
      <w:r>
        <w:t xml:space="preserve">This cycle — practiced at low stakes in Sprint 0, at moderate stakes in Sprint 1, and at full team complexity in Sprints 2 and 3 — builds the kind of</w:t>
      </w:r>
      <w:r>
        <w:t xml:space="preserve"> </w:t>
      </w:r>
      <w:r>
        <w:rPr>
          <w:b/>
          <w:bCs/>
        </w:rPr>
        <w:t xml:space="preserve">procedural automaticity</w:t>
      </w:r>
      <w:r>
        <w:t xml:space="preserve"> </w:t>
      </w:r>
      <w:r>
        <w:t xml:space="preserve">that Shulman identifies as the goal of signature-pedagogical formation: students stop</w:t>
      </w:r>
      <w:r>
        <w:t xml:space="preserve"> </w:t>
      </w:r>
      <w:r>
        <w:rPr>
          <w:i/>
          <w:iCs/>
        </w:rPr>
        <w:t xml:space="preserve">thinking about</w:t>
      </w:r>
      <w:r>
        <w:t xml:space="preserve"> </w:t>
      </w:r>
      <w:r>
        <w:t xml:space="preserve">the workflow and start</w:t>
      </w:r>
      <w:r>
        <w:t xml:space="preserve"> </w:t>
      </w:r>
      <w:r>
        <w:rPr>
          <w:i/>
          <w:iCs/>
        </w:rPr>
        <w:t xml:space="preserve">enacting</w:t>
      </w:r>
      <w:r>
        <w:t xml:space="preserve"> </w:t>
      </w:r>
      <w:r>
        <w:t xml:space="preserve">it reflexively.</w:t>
      </w:r>
    </w:p>
    <w:p>
      <w:pPr>
        <w:pStyle w:val="BodyText"/>
      </w:pPr>
      <w:r>
        <w:t xml:space="preserve">The workflow maps directly onto Scrum ceremonies, reinforcing agile methodology instruction across the capstone simultaneously: sprint planning produces issues; standups reference branch and PR status; sprint review demonstrates merged work; retrospective evaluates workflow effectiveness. Students are not learning two separate things; they are learning one integrated professional practice.</w:t>
      </w:r>
    </w:p>
    <w:p>
      <w:r>
        <w:pict>
          <v:rect style="width:0;height:1.5pt" o:hralign="center" o:hrstd="t" o:hr="t"/>
        </w:pict>
      </w:r>
    </w:p>
    <w:bookmarkEnd w:id="21"/>
    <w:bookmarkStart w:id="24" w:name="evidence-of-effectiveness"/>
    <w:p>
      <w:pPr>
        <w:pStyle w:val="Heading2"/>
      </w:pPr>
      <w:r>
        <w:t xml:space="preserve">Evidence of Effectiveness</w:t>
      </w:r>
    </w:p>
    <w:bookmarkStart w:id="22" w:name="X14e2265485bf0abade394ee7d42f1016165dfea"/>
    <w:p>
      <w:pPr>
        <w:pStyle w:val="Heading3"/>
      </w:pPr>
      <w:r>
        <w:t xml:space="preserve">Quantitative Outcomes — CSC 289, Spring 2026</w:t>
      </w:r>
    </w:p>
    <w:p>
      <w:pPr>
        <w:pStyle w:val="FirstParagraph"/>
      </w:pPr>
      <w:r>
        <w:t xml:space="preserve">The following data was collected from course artifacts and assessment instruments:</w:t>
      </w:r>
    </w:p>
    <w:tbl>
      <w:tblPr>
        <w:tblStyle w:val="Table"/>
        <w:tblW w:type="pct" w:w="5000"/>
        <w:tblLayout w:type="fixed"/>
        <w:tblLook w:firstRow="1" w:lastRow="0" w:firstColumn="0" w:lastColumn="0" w:noHBand="0" w:noVBand="0" w:val="0020"/>
      </w:tblPr>
      <w:tblGrid>
        <w:gridCol w:w="6788"/>
        <w:gridCol w:w="1131"/>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Students creating issues before code (by Sprint 2)</w:t>
            </w:r>
          </w:p>
        </w:tc>
        <w:tc>
          <w:tcPr/>
          <w:p>
            <w:pPr>
              <w:pStyle w:val="Compact"/>
            </w:pPr>
            <w:r>
              <w:t xml:space="preserve">100%</w:t>
            </w:r>
          </w:p>
        </w:tc>
      </w:tr>
      <w:tr>
        <w:tc>
          <w:tcPr/>
          <w:p>
            <w:pPr>
              <w:pStyle w:val="Compact"/>
            </w:pPr>
            <w:r>
              <w:t xml:space="preserve">Average issue completeness score</w:t>
            </w:r>
          </w:p>
        </w:tc>
        <w:tc>
          <w:tcPr/>
          <w:p>
            <w:pPr>
              <w:pStyle w:val="Compact"/>
            </w:pPr>
            <w:r>
              <w:t xml:space="preserve">92/100</w:t>
            </w:r>
          </w:p>
        </w:tc>
      </w:tr>
      <w:tr>
        <w:tc>
          <w:tcPr/>
          <w:p>
            <w:pPr>
              <w:pStyle w:val="Compact"/>
            </w:pPr>
            <w:r>
              <w:t xml:space="preserve">PRs properly linked to issues</w:t>
            </w:r>
          </w:p>
        </w:tc>
        <w:tc>
          <w:tcPr/>
          <w:p>
            <w:pPr>
              <w:pStyle w:val="Compact"/>
            </w:pPr>
            <w:r>
              <w:t xml:space="preserve">95%</w:t>
            </w:r>
          </w:p>
        </w:tc>
      </w:tr>
      <w:tr>
        <w:tc>
          <w:tcPr/>
          <w:p>
            <w:pPr>
              <w:pStyle w:val="Compact"/>
            </w:pPr>
            <w:r>
              <w:t xml:space="preserve">Students resolving merge conflicts without instructor intervention</w:t>
            </w:r>
          </w:p>
        </w:tc>
        <w:tc>
          <w:tcPr/>
          <w:p>
            <w:pPr>
              <w:pStyle w:val="Compact"/>
            </w:pPr>
            <w:r>
              <w:t xml:space="preserve">89%</w:t>
            </w:r>
          </w:p>
        </w:tc>
      </w:tr>
      <w:tr>
        <w:tc>
          <w:tcPr/>
          <w:p>
            <w:pPr>
              <w:pStyle w:val="Compact"/>
            </w:pPr>
            <w:r>
              <w:t xml:space="preserve">Work lost due to Git errors</w:t>
            </w:r>
          </w:p>
        </w:tc>
        <w:tc>
          <w:tcPr/>
          <w:p>
            <w:pPr>
              <w:pStyle w:val="Compact"/>
            </w:pPr>
            <w:r>
              <w:t xml:space="preserve">0 instances</w:t>
            </w:r>
          </w:p>
        </w:tc>
      </w:tr>
      <w:tr>
        <w:tc>
          <w:tcPr/>
          <w:p>
            <w:pPr>
              <w:pStyle w:val="Compact"/>
            </w:pPr>
            <w:r>
              <w:t xml:space="preserve">Average PR cycle time (create → merge)</w:t>
            </w:r>
          </w:p>
        </w:tc>
        <w:tc>
          <w:tcPr/>
          <w:p>
            <w:pPr>
              <w:pStyle w:val="Compact"/>
            </w:pPr>
            <w:r>
              <w:t xml:space="preserve">2.3 days</w:t>
            </w:r>
          </w:p>
        </w:tc>
      </w:tr>
      <w:tr>
        <w:tc>
          <w:tcPr/>
          <w:p>
            <w:pPr>
              <w:pStyle w:val="Compact"/>
            </w:pPr>
            <w:r>
              <w:t xml:space="preserve">Average peer review score</w:t>
            </w:r>
          </w:p>
        </w:tc>
        <w:tc>
          <w:tcPr/>
          <w:p>
            <w:pPr>
              <w:pStyle w:val="Compact"/>
            </w:pPr>
            <w:r>
              <w:t xml:space="preserve">85/100</w:t>
            </w:r>
          </w:p>
        </w:tc>
      </w:tr>
      <w:tr>
        <w:tc>
          <w:tcPr/>
          <w:p>
            <w:pPr>
              <w:pStyle w:val="Compact"/>
            </w:pPr>
            <w:r>
              <w:t xml:space="preserve">Students who addressed review feedback constructively</w:t>
            </w:r>
          </w:p>
        </w:tc>
        <w:tc>
          <w:tcPr/>
          <w:p>
            <w:pPr>
              <w:pStyle w:val="Compact"/>
            </w:pPr>
            <w:r>
              <w:t xml:space="preserve">94%</w:t>
            </w:r>
          </w:p>
        </w:tc>
      </w:tr>
      <w:tr>
        <w:tc>
          <w:tcPr/>
          <w:p>
            <w:pPr>
              <w:pStyle w:val="Compact"/>
            </w:pPr>
            <w:r>
              <w:t xml:space="preserve">Interpersonal conflicts arising from peer review process</w:t>
            </w:r>
          </w:p>
        </w:tc>
        <w:tc>
          <w:tcPr/>
          <w:p>
            <w:pPr>
              <w:pStyle w:val="Compact"/>
            </w:pPr>
            <w:r>
              <w:t xml:space="preserve">0</w:t>
            </w:r>
          </w:p>
        </w:tc>
      </w:tr>
    </w:tbl>
    <w:p>
      <w:pPr>
        <w:pStyle w:val="BodyText"/>
      </w:pPr>
      <w:r>
        <w:t xml:space="preserve">These figures reflect not just technical competency but professional behavioral formation — the actual outcome the objective was designed to produce.</w:t>
      </w:r>
    </w:p>
    <w:bookmarkEnd w:id="22"/>
    <w:bookmarkStart w:id="23" w:name="qualitative-outcomes"/>
    <w:p>
      <w:pPr>
        <w:pStyle w:val="Heading3"/>
      </w:pPr>
      <w:r>
        <w:t xml:space="preserve">Qualitative Outcomes</w:t>
      </w:r>
    </w:p>
    <w:p>
      <w:pPr>
        <w:pStyle w:val="FirstParagraph"/>
      </w:pPr>
      <w:r>
        <w:t xml:space="preserve">Student retrospective comments indicate that the ceremonial framing achieved its purpose:</w:t>
      </w:r>
    </w:p>
    <w:p>
      <w:pPr>
        <w:pStyle w:val="BlockText"/>
      </w:pPr>
      <w:r>
        <w:rPr>
          <w:i/>
          <w:iCs/>
        </w:rPr>
        <w:t xml:space="preserve">“The Sacred Workflow felt silly at first, but now I do it automatically.”</w:t>
      </w:r>
    </w:p>
    <w:p>
      <w:pPr>
        <w:pStyle w:val="BlockText"/>
      </w:pPr>
      <w:r>
        <w:rPr>
          <w:i/>
          <w:iCs/>
        </w:rPr>
        <w:t xml:space="preserve">“Draft PRs saved me from redoing work twice.”</w:t>
      </w:r>
    </w:p>
    <w:p>
      <w:pPr>
        <w:pStyle w:val="BlockText"/>
      </w:pPr>
      <w:r>
        <w:rPr>
          <w:i/>
          <w:iCs/>
        </w:rPr>
        <w:t xml:space="preserve">“Peer review taught me to write clearer code even before review.”</w:t>
      </w:r>
    </w:p>
    <w:p>
      <w:pPr>
        <w:pStyle w:val="FirstParagraph"/>
      </w:pPr>
      <w:r>
        <w:t xml:space="preserve">Exit interview data indicates students could describe the PR-based workflow fluently, recognized it from internship and early job experiences, and reported confidence discussing version control discipline in job interviews — a concrete, measurable return on the instructional investment.</w:t>
      </w:r>
    </w:p>
    <w:p>
      <w:r>
        <w:pict>
          <v:rect style="width:0;height:1.5pt" o:hralign="center" o:hrstd="t" o:hr="t"/>
        </w:pict>
      </w:r>
    </w:p>
    <w:bookmarkEnd w:id="23"/>
    <w:bookmarkEnd w:id="24"/>
    <w:bookmarkStart w:id="27" w:name="scalability-and-institutional-value"/>
    <w:p>
      <w:pPr>
        <w:pStyle w:val="Heading2"/>
      </w:pPr>
      <w:r>
        <w:t xml:space="preserve">Scalability and Institutional Value</w:t>
      </w:r>
    </w:p>
    <w:bookmarkStart w:id="25" w:name="cross-course-implementation"/>
    <w:p>
      <w:pPr>
        <w:pStyle w:val="Heading3"/>
      </w:pPr>
      <w:r>
        <w:t xml:space="preserve">Cross-Course Implementation</w:t>
      </w:r>
    </w:p>
    <w:p>
      <w:pPr>
        <w:pStyle w:val="FirstParagraph"/>
      </w:pPr>
      <w:r>
        <w:t xml:space="preserve">The modular design of the Sacred Workflow framework enables staged adoption across the curriculum:</w:t>
      </w:r>
    </w:p>
    <w:p>
      <w:pPr>
        <w:pStyle w:val="Compact"/>
        <w:numPr>
          <w:ilvl w:val="0"/>
          <w:numId w:val="1003"/>
        </w:numPr>
      </w:pPr>
      <w:r>
        <w:rPr>
          <w:b/>
          <w:bCs/>
        </w:rPr>
        <w:t xml:space="preserve">CSC 289</w:t>
      </w:r>
      <w:r>
        <w:t xml:space="preserve"> </w:t>
      </w:r>
      <w:r>
        <w:t xml:space="preserve">(Capstone): Full four-module implementation, current semester</w:t>
      </w:r>
    </w:p>
    <w:p>
      <w:pPr>
        <w:pStyle w:val="Compact"/>
        <w:numPr>
          <w:ilvl w:val="0"/>
          <w:numId w:val="1003"/>
        </w:numPr>
      </w:pPr>
      <w:r>
        <w:rPr>
          <w:b/>
          <w:bCs/>
        </w:rPr>
        <w:t xml:space="preserve">CTS 285</w:t>
      </w:r>
      <w:r>
        <w:t xml:space="preserve"> </w:t>
      </w:r>
      <w:r>
        <w:t xml:space="preserve">(Web Development): Issue tracking and basic branch workflow, current semester</w:t>
      </w:r>
    </w:p>
    <w:p>
      <w:pPr>
        <w:pStyle w:val="Compact"/>
        <w:numPr>
          <w:ilvl w:val="0"/>
          <w:numId w:val="1003"/>
        </w:numPr>
      </w:pPr>
      <w:r>
        <w:rPr>
          <w:b/>
          <w:bCs/>
        </w:rPr>
        <w:t xml:space="preserve">CSC 151</w:t>
      </w:r>
      <w:r>
        <w:t xml:space="preserve"> </w:t>
      </w:r>
      <w:r>
        <w:t xml:space="preserve">(Intro CS): Issue tracking module, planned implementation</w:t>
      </w:r>
    </w:p>
    <w:p>
      <w:pPr>
        <w:pStyle w:val="FirstParagraph"/>
      </w:pPr>
      <w:r>
        <w:t xml:space="preserve">Each time a student encounters this workflow in a subsequent course, the professional habit is reinforced rather than introduced. By the time they reach the capstone, students who have passed through lower-division courses with this framework arrive already fluent — compressing onboarding and enabling more sophisticated sprint work.</w:t>
      </w:r>
    </w:p>
    <w:bookmarkEnd w:id="25"/>
    <w:bookmarkStart w:id="26" w:name="reusable-artifacts-created"/>
    <w:p>
      <w:pPr>
        <w:pStyle w:val="Heading3"/>
      </w:pPr>
      <w:r>
        <w:t xml:space="preserve">Reusable Artifacts Created</w:t>
      </w:r>
    </w:p>
    <w:p>
      <w:pPr>
        <w:pStyle w:val="FirstParagraph"/>
      </w:pPr>
      <w:r>
        <w:t xml:space="preserve">All materials developed under this objective are immediately reusable by any instructor in the department:</w:t>
      </w:r>
    </w:p>
    <w:p>
      <w:pPr>
        <w:pStyle w:val="Compact"/>
        <w:numPr>
          <w:ilvl w:val="0"/>
          <w:numId w:val="1004"/>
        </w:numPr>
      </w:pPr>
      <w:r>
        <w:rPr>
          <w:rStyle w:val="VerbatimChar"/>
        </w:rPr>
        <w:t xml:space="preserve">WORKFLOW_GUIDE.md</w:t>
      </w:r>
      <w:r>
        <w:t xml:space="preserve"> </w:t>
      </w:r>
      <w:r>
        <w:t xml:space="preserve">— Complete Sacred Workflow documentation</w:t>
      </w:r>
    </w:p>
    <w:p>
      <w:pPr>
        <w:pStyle w:val="Compact"/>
        <w:numPr>
          <w:ilvl w:val="0"/>
          <w:numId w:val="1004"/>
        </w:numPr>
      </w:pPr>
      <w:r>
        <w:rPr>
          <w:rStyle w:val="VerbatimChar"/>
        </w:rPr>
        <w:t xml:space="preserve">ISSUE_TEMPLATE.md</w:t>
      </w:r>
      <w:r>
        <w:t xml:space="preserve"> </w:t>
      </w:r>
      <w:r>
        <w:t xml:space="preserve">— Issue creation template and guidelines</w:t>
      </w:r>
    </w:p>
    <w:p>
      <w:pPr>
        <w:pStyle w:val="Compact"/>
        <w:numPr>
          <w:ilvl w:val="0"/>
          <w:numId w:val="1004"/>
        </w:numPr>
      </w:pPr>
      <w:r>
        <w:rPr>
          <w:rStyle w:val="VerbatimChar"/>
        </w:rPr>
        <w:t xml:space="preserve">Capstone_GameFAQs_Walkthrough.md</w:t>
      </w:r>
      <w:r>
        <w:t xml:space="preserve"> </w:t>
      </w:r>
      <w:r>
        <w:t xml:space="preserve">— Student-facing workflow guide</w:t>
      </w:r>
    </w:p>
    <w:p>
      <w:pPr>
        <w:pStyle w:val="Compact"/>
        <w:numPr>
          <w:ilvl w:val="0"/>
          <w:numId w:val="1004"/>
        </w:numPr>
      </w:pPr>
      <w:r>
        <w:rPr>
          <w:rStyle w:val="VerbatimChar"/>
        </w:rPr>
        <w:t xml:space="preserve">YELLOW_Exit_Ticket_Rubric.md</w:t>
      </w:r>
      <w:r>
        <w:t xml:space="preserve"> </w:t>
      </w:r>
      <w:r>
        <w:t xml:space="preserve">— Competency assessment rubric</w:t>
      </w:r>
    </w:p>
    <w:p>
      <w:pPr>
        <w:pStyle w:val="Compact"/>
        <w:numPr>
          <w:ilvl w:val="0"/>
          <w:numId w:val="1004"/>
        </w:numPr>
      </w:pPr>
      <w:r>
        <w:rPr>
          <w:rStyle w:val="VerbatimChar"/>
        </w:rPr>
        <w:t xml:space="preserve">DAY_1_ESSENTIALS.md</w:t>
      </w:r>
      <w:r>
        <w:t xml:space="preserve"> </w:t>
      </w:r>
      <w:r>
        <w:t xml:space="preserve">— Day 1 orientation and setup guide</w:t>
      </w:r>
    </w:p>
    <w:p>
      <w:pPr>
        <w:pStyle w:val="Compact"/>
        <w:numPr>
          <w:ilvl w:val="0"/>
          <w:numId w:val="1004"/>
        </w:numPr>
      </w:pPr>
      <w:r>
        <w:t xml:space="preserve">Sprint planning integration guide, peer review rubrics, and scaffolding progression documentation</w:t>
      </w:r>
    </w:p>
    <w:p>
      <w:pPr>
        <w:pStyle w:val="FirstParagraph"/>
      </w:pPr>
      <w:r>
        <w:t xml:space="preserve">This is infrastructure, not coursework. Any instructor in the department can adopt these materials without developing them from scratch.</w:t>
      </w:r>
    </w:p>
    <w:p>
      <w:r>
        <w:pict>
          <v:rect style="width:0;height:1.5pt" o:hralign="center" o:hrstd="t" o:hr="t"/>
        </w:pict>
      </w:r>
    </w:p>
    <w:bookmarkEnd w:id="26"/>
    <w:bookmarkEnd w:id="27"/>
    <w:bookmarkStart w:id="28" w:name="Xcca662ef8e09cd0dbcbbc528043b9c695c79221"/>
    <w:p>
      <w:pPr>
        <w:pStyle w:val="Heading2"/>
      </w:pPr>
      <w:r>
        <w:t xml:space="preserve">Assessment: Why This Exceeds Minimum Expectations</w:t>
      </w:r>
    </w:p>
    <w:p>
      <w:pPr>
        <w:pStyle w:val="FirstParagraph"/>
      </w:pPr>
      <w:r>
        <w:t xml:space="preserve">The stated minimum for this objective was to create four instructional modules on branch strategy, peer review, and issue tracking. That minimum has been met.</w:t>
      </w:r>
    </w:p>
    <w:p>
      <w:pPr>
        <w:pStyle w:val="BodyText"/>
      </w:pPr>
      <w:r>
        <w:t xml:space="preserve">What distinguishes this outcome from minimum compliance is the nature of what was built. Minimum compliance produces four assignments. What was delivered is a</w:t>
      </w:r>
      <w:r>
        <w:t xml:space="preserve"> </w:t>
      </w:r>
      <w:r>
        <w:rPr>
          <w:b/>
          <w:bCs/>
        </w:rPr>
        <w:t xml:space="preserve">transferable pedagogical framework</w:t>
      </w:r>
      <w:r>
        <w:t xml:space="preserve"> </w:t>
      </w:r>
      <w:r>
        <w:t xml:space="preserve">grounded in peer-reviewed research, validated by quantifiable student outcomes, and positioned for adoption across the curriculum.</w:t>
      </w:r>
    </w:p>
    <w:p>
      <w:pPr>
        <w:pStyle w:val="BodyText"/>
      </w:pPr>
      <w:r>
        <w:t xml:space="preserve">Standard instruction in version control produces students who know Git commands. What this framework produces — as the outcome data confirms — is students who practice Git workflow discipline automatically, who understand the professional context for every step they take, and who can articulate that understanding to a hiring manager.</w:t>
      </w:r>
    </w:p>
    <w:p>
      <w:pPr>
        <w:pStyle w:val="BodyText"/>
      </w:pPr>
      <w:r>
        <w:t xml:space="preserve">The Garousi et al. meta-analysis establishes that configuration management is among the largest documented gaps between what CS programs produce and what employers require.</w:t>
      </w:r>
      <w:r>
        <w:t xml:space="preserve">[1]</w:t>
      </w:r>
      <w:r>
        <w:t xml:space="preserve"> </w:t>
      </w:r>
      <w:r>
        <w:t xml:space="preserve">This objective directly, measurably, and scalably addresses that gap. That is not minimum performance. That is the work a department does when it takes industry alignment seriously.</w:t>
      </w:r>
    </w:p>
    <w:p>
      <w:r>
        <w:pict>
          <v:rect style="width:0;height:1.5pt" o:hralign="center" o:hrstd="t" o:hr="t"/>
        </w:pict>
      </w:r>
    </w:p>
    <w:bookmarkEnd w:id="28"/>
    <w:bookmarkStart w:id="29" w:name="summary"/>
    <w:p>
      <w:pPr>
        <w:pStyle w:val="Heading2"/>
      </w:pPr>
      <w:r>
        <w:t xml:space="preserve">Summary</w:t>
      </w:r>
    </w:p>
    <w:tbl>
      <w:tblPr>
        <w:tblStyle w:val="Table"/>
        <w:tblW w:type="pct" w:w="5000"/>
        <w:tblLayout w:type="fixed"/>
        <w:tblLook w:firstRow="1" w:lastRow="0" w:firstColumn="0" w:lastColumn="0" w:noHBand="0" w:noVBand="0" w:val="0020"/>
      </w:tblPr>
      <w:tblGrid>
        <w:gridCol w:w="1387"/>
        <w:gridCol w:w="6532"/>
      </w:tblGrid>
      <w:tr>
        <w:trPr>
          <w:tblHeader w:val="on"/>
        </w:trPr>
        <w:tc>
          <w:tcPr/>
          <w:p>
            <w:pPr>
              <w:pStyle w:val="Compact"/>
            </w:pPr>
            <w:r>
              <w:t xml:space="preserve">Requirement</w:t>
            </w:r>
          </w:p>
        </w:tc>
        <w:tc>
          <w:tcPr/>
          <w:p>
            <w:pPr>
              <w:pStyle w:val="Compact"/>
            </w:pPr>
            <w:r>
              <w:t xml:space="preserve">Delivered</w:t>
            </w:r>
          </w:p>
        </w:tc>
      </w:tr>
      <w:tr>
        <w:tc>
          <w:tcPr/>
          <w:p>
            <w:pPr>
              <w:pStyle w:val="Compact"/>
            </w:pPr>
            <w:r>
              <w:t xml:space="preserve">1+ branch-and-merge assignments</w:t>
            </w:r>
          </w:p>
        </w:tc>
        <w:tc>
          <w:tcPr/>
          <w:p>
            <w:pPr>
              <w:pStyle w:val="Compact"/>
            </w:pPr>
            <w:r>
              <w:t xml:space="preserve">Three-phase exercise progression (solo → pair → full team) with sprint integration</w:t>
            </w:r>
          </w:p>
        </w:tc>
      </w:tr>
      <w:tr>
        <w:tc>
          <w:tcPr/>
          <w:p>
            <w:pPr>
              <w:pStyle w:val="Compact"/>
            </w:pPr>
            <w:r>
              <w:t xml:space="preserve">Self/peer review framework</w:t>
            </w:r>
          </w:p>
        </w:tc>
        <w:tc>
          <w:tcPr/>
          <w:p>
            <w:pPr>
              <w:pStyle w:val="Compact"/>
            </w:pPr>
            <w:r>
              <w:t xml:space="preserve">Four-category rubric system with self-review checklist, reviewer assessment, and response protocol</w:t>
            </w:r>
          </w:p>
        </w:tc>
      </w:tr>
      <w:tr>
        <w:tc>
          <w:tcPr/>
          <w:p>
            <w:pPr>
              <w:pStyle w:val="Compact"/>
            </w:pPr>
            <w:r>
              <w:t xml:space="preserve">Issue tracking integration</w:t>
            </w:r>
          </w:p>
        </w:tc>
        <w:tc>
          <w:tcPr/>
          <w:p>
            <w:pPr>
              <w:pStyle w:val="Compact"/>
            </w:pPr>
            <w:r>
              <w:t xml:space="preserve">Three-tier scaffolded implementation (INFRARED through GREEN); full sprint-lifecycle traceability</w:t>
            </w:r>
          </w:p>
        </w:tc>
      </w:tr>
      <w:tr>
        <w:tc>
          <w:tcPr/>
          <w:p>
            <w:pPr>
              <w:pStyle w:val="Compact"/>
            </w:pPr>
            <w:r>
              <w:rPr>
                <w:b/>
                <w:bCs/>
              </w:rPr>
              <w:t xml:space="preserve">Beyond requirements</w:t>
            </w:r>
          </w:p>
        </w:tc>
        <w:tc>
          <w:tcPr/>
          <w:p>
            <w:pPr>
              <w:pStyle w:val="Compact"/>
            </w:pPr>
            <w:r>
              <w:t xml:space="preserve">Pedagogical framework grounded in learning theory; cross-course implementation plan; reusable institutional materials; quantified student outcomes</w:t>
            </w:r>
          </w:p>
        </w:tc>
      </w:tr>
    </w:tbl>
    <w:p>
      <w:r>
        <w:pict>
          <v:rect style="width:0;height:1.5pt" o:hralign="center" o:hrstd="t" o:hr="t"/>
        </w:pict>
      </w:r>
    </w:p>
    <w:bookmarkEnd w:id="29"/>
    <w:bookmarkStart w:id="30" w:name="references"/>
    <w:p>
      <w:pPr>
        <w:pStyle w:val="Heading2"/>
      </w:pPr>
      <w:r>
        <w:t xml:space="preserve">References</w:t>
      </w:r>
    </w:p>
    <w:p>
      <w:pPr>
        <w:pStyle w:val="Compact"/>
        <w:numPr>
          <w:ilvl w:val="0"/>
          <w:numId w:val="1005"/>
        </w:numPr>
      </w:pPr>
      <w:r>
        <w:t xml:space="preserve">Garousi, V., Giray, G., Tuzun, E., Catal, C., &amp; Felderer, M. (2020). Closing the gap between software engineering education and industrial needs.</w:t>
      </w:r>
      <w:r>
        <w:t xml:space="preserve"> </w:t>
      </w:r>
      <w:r>
        <w:rPr>
          <w:i/>
          <w:iCs/>
        </w:rPr>
        <w:t xml:space="preserve">IEEE Software, 37</w:t>
      </w:r>
      <w:r>
        <w:t xml:space="preserve">(2), 68–77. https://arxiv.org/pdf/1812.01954</w:t>
      </w:r>
    </w:p>
    <w:p>
      <w:pPr>
        <w:pStyle w:val="Compact"/>
        <w:numPr>
          <w:ilvl w:val="0"/>
          <w:numId w:val="1005"/>
        </w:numPr>
      </w:pPr>
      <w:r>
        <w:t xml:space="preserve">Stack Overflow. (2024).</w:t>
      </w:r>
      <w:r>
        <w:t xml:space="preserve"> </w:t>
      </w:r>
      <w:r>
        <w:rPr>
          <w:i/>
          <w:iCs/>
        </w:rPr>
        <w:t xml:space="preserve">Stack Overflow Developer Survey 2024</w:t>
      </w:r>
      <w:r>
        <w:t xml:space="preserve"> </w:t>
      </w:r>
      <w:r>
        <w:t xml:space="preserve">(n = 65,437). https://survey.stackoverflow.co/2024/</w:t>
      </w:r>
    </w:p>
    <w:p>
      <w:pPr>
        <w:pStyle w:val="Compact"/>
        <w:numPr>
          <w:ilvl w:val="0"/>
          <w:numId w:val="1005"/>
        </w:numPr>
      </w:pPr>
      <w:r>
        <w:t xml:space="preserve">GitHub. (2025).</w:t>
      </w:r>
      <w:r>
        <w:t xml:space="preserve"> </w:t>
      </w:r>
      <w:r>
        <w:rPr>
          <w:i/>
          <w:iCs/>
        </w:rPr>
        <w:t xml:space="preserve">Octoverse 2025: A new developer joins GitHub every second.</w:t>
      </w:r>
      <w:r>
        <w:t xml:space="preserve"> </w:t>
      </w:r>
      <w:r>
        <w:t xml:space="preserve">https://github.blog/news-insights/octoverse/octoverse-a-new-developer-joins-github-every-second-as-ai-leads-typescript-to-1/</w:t>
      </w:r>
    </w:p>
    <w:p>
      <w:pPr>
        <w:pStyle w:val="Compact"/>
        <w:numPr>
          <w:ilvl w:val="0"/>
          <w:numId w:val="1005"/>
        </w:numPr>
      </w:pPr>
      <w:r>
        <w:t xml:space="preserve">JetBrains &amp; GitKraken. (2024).</w:t>
      </w:r>
      <w:r>
        <w:t xml:space="preserve"> </w:t>
      </w:r>
      <w:r>
        <w:rPr>
          <w:i/>
          <w:iCs/>
        </w:rPr>
        <w:t xml:space="preserve">State of Git Collaboration Report.</w:t>
      </w:r>
      <w:r>
        <w:t xml:space="preserve"> </w:t>
      </w:r>
      <w:r>
        <w:t xml:space="preserve">https://blog.jetbrains.com/team/2024/03/05/are-dev-teams-surviving-or-thriving-in-2024-insights-from-jetbrains-and-gitkraken-s-state-of-git-collaboration-report/</w:t>
      </w:r>
    </w:p>
    <w:p>
      <w:pPr>
        <w:pStyle w:val="Compact"/>
        <w:numPr>
          <w:ilvl w:val="0"/>
          <w:numId w:val="1005"/>
        </w:numPr>
      </w:pPr>
      <w:r>
        <w:t xml:space="preserve">Shulman, L. S. (2005). Signature pedagogies in the professions.</w:t>
      </w:r>
      <w:r>
        <w:t xml:space="preserve"> </w:t>
      </w:r>
      <w:r>
        <w:rPr>
          <w:i/>
          <w:iCs/>
        </w:rPr>
        <w:t xml:space="preserve">Daedalus, 134</w:t>
      </w:r>
      <w:r>
        <w:t xml:space="preserve">(3), 52–59.</w:t>
      </w:r>
    </w:p>
    <w:p>
      <w:pPr>
        <w:pStyle w:val="Compact"/>
        <w:numPr>
          <w:ilvl w:val="0"/>
          <w:numId w:val="1005"/>
        </w:numPr>
      </w:pPr>
      <w:r>
        <w:t xml:space="preserve">Lave, J., &amp; Wenger, E. (1991).</w:t>
      </w:r>
      <w:r>
        <w:t xml:space="preserve"> </w:t>
      </w:r>
      <w:r>
        <w:rPr>
          <w:i/>
          <w:iCs/>
        </w:rPr>
        <w:t xml:space="preserve">Situated learning: Legitimate peripheral participation.</w:t>
      </w:r>
      <w:r>
        <w:t xml:space="preserve"> </w:t>
      </w:r>
      <w:r>
        <w:t xml:space="preserve">Cambridge University Press.</w:t>
      </w:r>
    </w:p>
    <w:p>
      <w:pPr>
        <w:pStyle w:val="Compact"/>
        <w:numPr>
          <w:ilvl w:val="0"/>
          <w:numId w:val="1005"/>
        </w:numPr>
      </w:pPr>
      <w:r>
        <w:t xml:space="preserve">Sadowski, C., Söderberg, E., Church, L., Sipko, M., &amp; Bacchelli, A. (2018). Modern code review: A case study at Google.</w:t>
      </w:r>
      <w:r>
        <w:t xml:space="preserve"> </w:t>
      </w:r>
      <w:r>
        <w:rPr>
          <w:i/>
          <w:iCs/>
        </w:rPr>
        <w:t xml:space="preserve">ICSE-SEIP ’18</w:t>
      </w:r>
      <w:r>
        <w:t xml:space="preserve">, 181–190. https://doi.org/10.1145/3183519.3183525</w:t>
      </w:r>
    </w:p>
    <w:p>
      <w:pPr>
        <w:pStyle w:val="Compact"/>
        <w:numPr>
          <w:ilvl w:val="0"/>
          <w:numId w:val="1005"/>
        </w:numPr>
      </w:pPr>
      <w:r>
        <w:t xml:space="preserve">Bacchelli, A., &amp; Bird, C. (2013). Expectations, outcomes, and challenges of modern code review.</w:t>
      </w:r>
      <w:r>
        <w:t xml:space="preserve"> </w:t>
      </w:r>
      <w:r>
        <w:rPr>
          <w:i/>
          <w:iCs/>
        </w:rPr>
        <w:t xml:space="preserve">ICSE ’13</w:t>
      </w:r>
      <w:r>
        <w:t xml:space="preserve">, 712–721. https://doi.org/10.1109/ICSE.2013.6606617</w:t>
      </w:r>
    </w:p>
    <w:p>
      <w:pPr>
        <w:pStyle w:val="Compact"/>
        <w:numPr>
          <w:ilvl w:val="0"/>
          <w:numId w:val="1005"/>
        </w:numPr>
      </w:pPr>
      <w:r>
        <w:t xml:space="preserve">SmartBear. (2021).</w:t>
      </w:r>
      <w:r>
        <w:t xml:space="preserve"> </w:t>
      </w:r>
      <w:r>
        <w:rPr>
          <w:i/>
          <w:iCs/>
        </w:rPr>
        <w:t xml:space="preserve">State of software quality: Code review</w:t>
      </w:r>
      <w:r>
        <w:t xml:space="preserve"> </w:t>
      </w:r>
      <w:r>
        <w:t xml:space="preserve">(8th annual report, n ≈ 800). https://smartbear.com/blog/top-10-insights-on-the-state-of-code-review/</w:t>
      </w:r>
    </w:p>
    <w:p>
      <w:pPr>
        <w:pStyle w:val="Compact"/>
        <w:numPr>
          <w:ilvl w:val="0"/>
          <w:numId w:val="1005"/>
        </w:numPr>
      </w:pPr>
      <w:r>
        <w:t xml:space="preserve">Indriasari, T. D., Luxton-Reilly, A., &amp; Denny, P. (2020). A review of peer code review in higher education.</w:t>
      </w:r>
      <w:r>
        <w:t xml:space="preserve"> </w:t>
      </w:r>
      <w:r>
        <w:rPr>
          <w:i/>
          <w:iCs/>
        </w:rPr>
        <w:t xml:space="preserve">ACM Transactions on Computing Education, 20</w:t>
      </w:r>
      <w:r>
        <w:t xml:space="preserve">(3), Article 22. https://doi.org/10.1145/3403935</w:t>
      </w:r>
    </w:p>
    <w:p>
      <w:pPr>
        <w:pStyle w:val="Compact"/>
        <w:numPr>
          <w:ilvl w:val="0"/>
          <w:numId w:val="1005"/>
        </w:numPr>
      </w:pPr>
      <w:r>
        <w:t xml:space="preserve">McDowell, C., Werner, L., Bullock, H. E., &amp; Fernald, J. (2006). Pair programming improves student retention, confidence, and program quality.</w:t>
      </w:r>
      <w:r>
        <w:t xml:space="preserve"> </w:t>
      </w:r>
      <w:r>
        <w:rPr>
          <w:i/>
          <w:iCs/>
        </w:rPr>
        <w:t xml:space="preserve">Communications of the ACM, 49</w:t>
      </w:r>
      <w:r>
        <w:t xml:space="preserve">(8), 90–95. https://doi.org/10.1145/1145287.1145293</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2026-05-16T14:14:22Z</dcterms:created>
  <dcterms:modified xsi:type="dcterms:W3CDTF">2026-05-16T14:14:22Z</dcterms:modified>
</cp:coreProperties>
</file>

<file path=docProps/custom.xml><?xml version="1.0" encoding="utf-8"?>
<Properties xmlns="http://schemas.openxmlformats.org/officeDocument/2006/custom-properties" xmlns:vt="http://schemas.openxmlformats.org/officeDocument/2006/docPropsVTypes"/>
</file>