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executive-summary"/>
    <w:p>
      <w:pPr>
        <w:pStyle w:val="Heading1"/>
      </w:pPr>
      <w:r>
        <w:t xml:space="preserve">Executive Summary</w:t>
      </w:r>
    </w:p>
    <w:p>
      <w:pPr>
        <w:pStyle w:val="FirstParagraph"/>
      </w:pPr>
      <w:r>
        <w:rPr>
          <w:b/>
          <w:bCs/>
        </w:rPr>
        <w:t xml:space="preserve">Spring 2026 Performance Review · [REDACTED]</w:t>
      </w:r>
      <w:r>
        <w:t xml:space="preserve"> </w:t>
      </w:r>
      <w:r>
        <w:rPr>
          <w:b/>
          <w:bCs/>
        </w:rPr>
        <w:t xml:space="preserve">CSC 289 (Software Development Capstone) · CTS 285 (Web Application Development) · CPD Tools Group</w:t>
      </w:r>
    </w:p>
    <w:p>
      <w:r>
        <w:pict>
          <v:rect style="width:0;height:1.5pt" o:hralign="center" o:hrstd="t" o:hr="t"/>
        </w:pict>
      </w:r>
    </w:p>
    <w:bookmarkStart w:id="9" w:name="headline"/>
    <w:p>
      <w:pPr>
        <w:pStyle w:val="Heading2"/>
      </w:pPr>
      <w:r>
        <w:t xml:space="preserve">Headline</w:t>
      </w:r>
    </w:p>
    <w:p>
      <w:pPr>
        <w:pStyle w:val="FirstParagraph"/>
      </w:pPr>
      <w:r>
        <w:t xml:space="preserve">Three formal performance objectives were specified for the Spring 2026 review period. All three were achieved, with documented outcomes that meet or exceed the stated criteria. A fourth objective — the design and construction of the instructional infrastructure inside which the other three operate — was completed in parallel and is documented as Objective Zero. The deliverable specified by the original objectives was effective course delivery. The deliverable built was the infrastructure that makes effective course delivery possible, replicable, and measurable.</w:t>
      </w:r>
    </w:p>
    <w:p>
      <w:r>
        <w:pict>
          <v:rect style="width:0;height:1.5pt" o:hralign="center" o:hrstd="t" o:hr="t"/>
        </w:pict>
      </w:r>
    </w:p>
    <w:bookmarkEnd w:id="9"/>
    <w:bookmarkStart w:id="10" w:name="spring-2026-at-a-glance"/>
    <w:p>
      <w:pPr>
        <w:pStyle w:val="Heading2"/>
      </w:pPr>
      <w:r>
        <w:t xml:space="preserve">Spring 2026 — At a Glance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Performance objectives completed</w:t>
            </w:r>
          </w:p>
        </w:tc>
        <w:tc>
          <w:tcPr/>
          <w:p>
            <w:pPr>
              <w:pStyle w:val="Compact"/>
            </w:pPr>
            <w:r>
              <w:t xml:space="preserve">3 of 3 (plus Objective Zero)</w:t>
            </w:r>
          </w:p>
        </w:tc>
      </w:tr>
      <w:tr>
        <w:tc>
          <w:tcPr/>
          <w:p>
            <w:pPr>
              <w:pStyle w:val="Compact"/>
            </w:pPr>
            <w:r>
              <w:t xml:space="preserve">Courses delivered under the framework</w:t>
            </w:r>
          </w:p>
        </w:tc>
        <w:tc>
          <w:tcPr/>
          <w:p>
            <w:pPr>
              <w:pStyle w:val="Compact"/>
            </w:pPr>
            <w:r>
              <w:t xml:space="preserve">2 (CSC 289, CTS 285)</w:t>
            </w:r>
          </w:p>
        </w:tc>
      </w:tr>
      <w:tr>
        <w:tc>
          <w:tcPr/>
          <w:p>
            <w:pPr>
              <w:pStyle w:val="Compact"/>
            </w:pPr>
            <w:r>
              <w:t xml:space="preserve">Capstone teams paired with Graphic Design</w:t>
            </w:r>
          </w:p>
        </w:tc>
        <w:tc>
          <w:tcPr/>
          <w:p>
            <w:pPr>
              <w:pStyle w:val="Compact"/>
            </w:pPr>
            <w:r>
              <w:t xml:space="preserve">5 of 5 completed</w:t>
            </w:r>
          </w:p>
        </w:tc>
      </w:tr>
      <w:tr>
        <w:tc>
          <w:tcPr/>
          <w:p>
            <w:pPr>
              <w:pStyle w:val="Compact"/>
            </w:pPr>
            <w:r>
              <w:t xml:space="preserve">Cross-departmental milestone completion</w:t>
            </w:r>
          </w:p>
        </w:tc>
        <w:tc>
          <w:tcPr/>
          <w:p>
            <w:pPr>
              <w:pStyle w:val="Compact"/>
            </w:pPr>
            <w:r>
              <w:t xml:space="preserve">100%</w:t>
            </w:r>
          </w:p>
        </w:tc>
      </w:tr>
      <w:tr>
        <w:tc>
          <w:tcPr/>
          <w:p>
            <w:pPr>
              <w:pStyle w:val="Compact"/>
            </w:pPr>
            <w:r>
              <w:t xml:space="preserve">Average collaboration rubric score (Obj. 1)</w:t>
            </w:r>
          </w:p>
        </w:tc>
        <w:tc>
          <w:tcPr/>
          <w:p>
            <w:pPr>
              <w:pStyle w:val="Compact"/>
            </w:pPr>
            <w:r>
              <w:t xml:space="preserve">87 / 100</w:t>
            </w:r>
          </w:p>
        </w:tc>
      </w:tr>
      <w:tr>
        <w:tc>
          <w:tcPr/>
          <w:p>
            <w:pPr>
              <w:pStyle w:val="Compact"/>
            </w:pPr>
            <w:r>
              <w:t xml:space="preserve">Students creating issues before code by Sprint 2 (Obj. 2)</w:t>
            </w:r>
          </w:p>
        </w:tc>
        <w:tc>
          <w:tcPr/>
          <w:p>
            <w:pPr>
              <w:pStyle w:val="Compact"/>
            </w:pPr>
            <w:r>
              <w:t xml:space="preserve">100%</w:t>
            </w:r>
          </w:p>
        </w:tc>
      </w:tr>
      <w:tr>
        <w:tc>
          <w:tcPr/>
          <w:p>
            <w:pPr>
              <w:pStyle w:val="Compact"/>
            </w:pPr>
            <w:r>
              <w:t xml:space="preserve">Pull requests properly linked to tracked issues (Obj. 2)</w:t>
            </w:r>
          </w:p>
        </w:tc>
        <w:tc>
          <w:tcPr/>
          <w:p>
            <w:pPr>
              <w:pStyle w:val="Compact"/>
            </w:pPr>
            <w:r>
              <w:t xml:space="preserve">95%</w:t>
            </w:r>
          </w:p>
        </w:tc>
      </w:tr>
      <w:tr>
        <w:tc>
          <w:tcPr/>
          <w:p>
            <w:pPr>
              <w:pStyle w:val="Compact"/>
            </w:pPr>
            <w:r>
              <w:t xml:space="preserve">Merge conflicts handled without instructor intervention (Obj. 2)</w:t>
            </w:r>
          </w:p>
        </w:tc>
        <w:tc>
          <w:tcPr/>
          <w:p>
            <w:pPr>
              <w:pStyle w:val="Compact"/>
            </w:pPr>
            <w:r>
              <w:t xml:space="preserve">89%</w:t>
            </w:r>
          </w:p>
        </w:tc>
      </w:tr>
      <w:tr>
        <w:tc>
          <w:tcPr/>
          <w:p>
            <w:pPr>
              <w:pStyle w:val="Compact"/>
            </w:pPr>
            <w:r>
              <w:t xml:space="preserve">Work lost to Git mistakes across the term (Obj. 2)</w:t>
            </w:r>
          </w:p>
        </w:tc>
        <w:tc>
          <w:tcPr/>
          <w:p>
            <w:pPr>
              <w:pStyle w:val="Compact"/>
            </w:pPr>
            <w:r>
              <w:t xml:space="preserve">0</w:t>
            </w:r>
          </w:p>
        </w:tc>
      </w:tr>
      <w:tr>
        <w:tc>
          <w:tcPr/>
          <w:p>
            <w:pPr>
              <w:pStyle w:val="Compact"/>
            </w:pPr>
            <w:r>
              <w:t xml:space="preserve">Average peer review score (Obj. 2)</w:t>
            </w:r>
          </w:p>
        </w:tc>
        <w:tc>
          <w:tcPr/>
          <w:p>
            <w:pPr>
              <w:pStyle w:val="Compact"/>
            </w:pPr>
            <w:r>
              <w:t xml:space="preserve">85 / 100</w:t>
            </w:r>
          </w:p>
        </w:tc>
      </w:tr>
      <w:tr>
        <w:tc>
          <w:tcPr/>
          <w:p>
            <w:pPr>
              <w:pStyle w:val="Compact"/>
            </w:pPr>
            <w:r>
              <w:t xml:space="preserve">Ghost Student Discovery Tool — ship status (Obj. 3)</w:t>
            </w:r>
          </w:p>
        </w:tc>
        <w:tc>
          <w:tcPr/>
          <w:p>
            <w:pPr>
              <w:pStyle w:val="Compact"/>
            </w:pPr>
            <w:r>
              <w:t xml:space="preserve">Delivered May 2026</w:t>
            </w:r>
          </w:p>
        </w:tc>
      </w:tr>
      <w:tr>
        <w:tc>
          <w:tcPr/>
          <w:p>
            <w:pPr>
              <w:pStyle w:val="Compact"/>
            </w:pPr>
            <w:r>
              <w:t xml:space="preserve">Student records covered by the tool’s screening</w:t>
            </w:r>
          </w:p>
        </w:tc>
        <w:tc>
          <w:tcPr/>
          <w:p>
            <w:pPr>
              <w:pStyle w:val="Compact"/>
            </w:pPr>
            <w:r>
              <w:t xml:space="preserve">~12,000</w:t>
            </w:r>
          </w:p>
        </w:tc>
      </w:tr>
      <w:tr>
        <w:tc>
          <w:tcPr/>
          <w:p>
            <w:pPr>
              <w:pStyle w:val="Compact"/>
            </w:pPr>
            <w:r>
              <w:t xml:space="preserve">Dilts neurological levels addressed by the framework (Obj. 0)</w:t>
            </w:r>
          </w:p>
        </w:tc>
        <w:tc>
          <w:tcPr/>
          <w:p>
            <w:pPr>
              <w:pStyle w:val="Compact"/>
            </w:pPr>
            <w:r>
              <w:t xml:space="preserve">6 of 6</w:t>
            </w:r>
          </w:p>
        </w:tc>
      </w:tr>
    </w:tbl>
    <w:p>
      <w:r>
        <w:pict>
          <v:rect style="width:0;height:1.5pt" o:hralign="center" o:hrstd="t" o:hr="t"/>
        </w:pict>
      </w:r>
    </w:p>
    <w:bookmarkEnd w:id="10"/>
    <w:bookmarkStart w:id="11" w:name="the-distinction-that-matters"/>
    <w:p>
      <w:pPr>
        <w:pStyle w:val="Heading2"/>
      </w:pPr>
      <w:r>
        <w:t xml:space="preserve">The Distinction That Matters</w:t>
      </w:r>
    </w:p>
    <w:p>
      <w:pPr>
        <w:pStyle w:val="FirstParagraph"/>
      </w:pPr>
      <w:r>
        <w:t xml:space="preserve">The Google Project Management Certificate capstone,</w:t>
      </w:r>
      <w:r>
        <w:t xml:space="preserve"> </w:t>
      </w:r>
      <w:r>
        <w:rPr>
          <w:i/>
          <w:iCs/>
        </w:rPr>
        <w:t xml:space="preserve">Sauce &amp; Spoon</w:t>
      </w:r>
      <w:r>
        <w:t xml:space="preserve">, asks students to manage a fictional restaurant. Thousands of practitioners have completed it. It is a well-regarded credential.</w:t>
      </w:r>
      <w:r>
        <w:t xml:space="preserve"> </w:t>
      </w:r>
      <w:r>
        <w:rPr>
          <w:b/>
          <w:bCs/>
        </w:rPr>
        <w:t xml:space="preserve">What was built here is the restaurant.</w:t>
      </w:r>
      <w:r>
        <w:t xml:space="preserve"> </w:t>
      </w:r>
      <w:r>
        <w:t xml:space="preserve">The work documented in this binder is not the work of running a scenario — it is the work of designing one, delivering it across two courses, instrumenting it for measurement, and making it replicable by other instructors. That is a different order of labor. It produces a different institutional artifact.</w:t>
      </w:r>
    </w:p>
    <w:p>
      <w:r>
        <w:pict>
          <v:rect style="width:0;height:1.5pt" o:hralign="center" o:hrstd="t" o:hr="t"/>
        </w:pict>
      </w:r>
    </w:p>
    <w:bookmarkEnd w:id="11"/>
    <w:bookmarkStart w:id="12" w:name="objective-summaries"/>
    <w:p>
      <w:pPr>
        <w:pStyle w:val="Heading2"/>
      </w:pPr>
      <w:r>
        <w:t xml:space="preserve">Objective Summaries</w:t>
      </w:r>
    </w:p>
    <w:p>
      <w:pPr>
        <w:pStyle w:val="FirstParagraph"/>
      </w:pPr>
      <w:r>
        <w:rPr>
          <w:b/>
          <w:bCs/>
        </w:rPr>
        <w:t xml:space="preserve">Objective 1 — Cross-Departmental Capstone Collaboration Framework.</w:t>
      </w:r>
      <w:r>
        <w:t xml:space="preserve"> </w:t>
      </w:r>
      <w:r>
        <w:t xml:space="preserve">Formalized the collaboration protocol between CSC capstone teams and Graphic Design students with a documented three-brief exchange (Product Brief, Technical Brief, Design Brief Response), three milestone-anchored touchpoints across Sprint 0 and Sprint 1, and a 100-point pitch-and-collaboration rubric measuring communication quality, deliverable integration, collaboration process, and final product quality. GRD students were integrated into the AlgoCratic Futures simulation as a defined GRAY-clearance cross-functional role. Five paired teams, five completed projects, 100% milestone completion, average collaboration score 87/100, with both departments committing to continue and refine the protocol for Fall 2026.</w:t>
      </w:r>
    </w:p>
    <w:p>
      <w:pPr>
        <w:pStyle w:val="BodyText"/>
      </w:pPr>
      <w:r>
        <w:rPr>
          <w:b/>
          <w:bCs/>
        </w:rPr>
        <w:t xml:space="preserve">Objective 2 — Source Control &amp; Version Control Instructional Modules.</w:t>
      </w:r>
      <w:r>
        <w:t xml:space="preserve"> </w:t>
      </w:r>
      <w:r>
        <w:t xml:space="preserve">Built and deployed four integrated modules — Issue Tracking, Branch &amp; Merge Workflow, Pull Request Process, Self/Peer Code Review — anchored on the Sacred Workflow (</w:t>
      </w:r>
      <w:r>
        <w:rPr>
          <w:rStyle w:val="VerbatimChar"/>
        </w:rPr>
        <w:t xml:space="preserve">Issue → Branch → Draft PR → Code &amp; Test → Finish PR → Review → Merge</w:t>
      </w:r>
      <w:r>
        <w:t xml:space="preserve">). Scaffolded through three phases of practice (Solo Burger, Team Lunch, Full Sprint) and assessed via YELLOW Exit Ticket rubrics tied to each module. Outcomes: 100% of students creating issues before code by Sprint 2, 95% PR-to-issue linkage, 89% independent merge conflict resolution, zero lost-work incidents, average peer review score 85/100. Reduced-scope implementation planned for CTS 285; modules structured for selective adoption by other instructors.</w:t>
      </w:r>
    </w:p>
    <w:p>
      <w:pPr>
        <w:pStyle w:val="BodyText"/>
      </w:pPr>
      <w:r>
        <w:rPr>
          <w:b/>
          <w:bCs/>
        </w:rPr>
        <w:t xml:space="preserve">Objective 3 — Ghost Student Discovery Tool (Project Management Contribution).</w:t>
      </w:r>
      <w:r>
        <w:t xml:space="preserve"> </w:t>
      </w:r>
      <w:r>
        <w:t xml:space="preserve">Provided project management, Agile/Scrum mentoring, requirements gathering, and documentation support to the CPD Tools Group development team — lead developers</w:t>
      </w:r>
      <w:r>
        <w:t xml:space="preserve"> </w:t>
      </w:r>
      <w:r>
        <w:rPr>
          <w:b/>
          <w:bCs/>
        </w:rPr>
        <w:t xml:space="preserve">HS</w:t>
      </w:r>
      <w:r>
        <w:t xml:space="preserve"> </w:t>
      </w:r>
      <w:r>
        <w:t xml:space="preserve">and</w:t>
      </w:r>
      <w:r>
        <w:t xml:space="preserve"> </w:t>
      </w:r>
      <w:r>
        <w:rPr>
          <w:b/>
          <w:bCs/>
        </w:rPr>
        <w:t xml:space="preserve">MM</w:t>
      </w:r>
      <w:r>
        <w:t xml:space="preserve">, supporting developer</w:t>
      </w:r>
      <w:r>
        <w:t xml:space="preserve"> </w:t>
      </w:r>
      <w:r>
        <w:rPr>
          <w:b/>
          <w:bCs/>
        </w:rPr>
        <w:t xml:space="preserve">BS</w:t>
      </w:r>
      <w:r>
        <w:t xml:space="preserve">, team lead</w:t>
      </w:r>
      <w:r>
        <w:t xml:space="preserve"> </w:t>
      </w:r>
      <w:r>
        <w:rPr>
          <w:b/>
          <w:bCs/>
        </w:rPr>
        <w:t xml:space="preserve">DT</w:t>
      </w:r>
      <w:r>
        <w:t xml:space="preserve"> </w:t>
      </w:r>
      <w:r>
        <w:t xml:space="preserve">— on a tool detecting ghost-student fraud and anomalous enrollment patterns across the college’s ~12,000 student records. The same methodology codified in Objectives 1 and 2 (structured briefs, milestone-anchored handoffs, Sacred Workflow discipline) was applied to a live institutional project aligned with the U.S. Department of Education’s mid-2025 identity-verification mandates and ahead of the Fall 2026 enrollment cycle. Tool delivered May 2026; all stakeholder-identified detection signals implemented as working capabilities; manual review burden reduced from ~12,000 records to a tractable flagged subset. Full credit for technical design and build belongs to the development team. The regional threat is documented and prosecuted — the $4.7M Melvin case (sentenced June 2025) named FTCC directly.</w:t>
      </w:r>
    </w:p>
    <w:p>
      <w:pPr>
        <w:pStyle w:val="BodyText"/>
      </w:pPr>
      <w:r>
        <w:rPr>
          <w:b/>
          <w:bCs/>
        </w:rPr>
        <w:t xml:space="preserve">Objective Zero — Multi-Level Immersive Instructional Environment.</w:t>
      </w:r>
      <w:r>
        <w:t xml:space="preserve"> </w:t>
      </w:r>
      <w:r>
        <w:t xml:space="preserve">Designed and deployed the AlgoCratic Futures pedagogical framework: a six-level immersive instructional system grounded in Dilts’ Neurological Levels (1980s), Dweck’s mindset research (Ballantine Books, 2006), Edmondson on psychological safety (</w:t>
      </w:r>
      <w:r>
        <w:rPr>
          <w:i/>
          <w:iCs/>
        </w:rPr>
        <w:t xml:space="preserve">ASQ</w:t>
      </w:r>
      <w:r>
        <w:t xml:space="preserve">, 1999), Lave and Wenger on situated learning (Cambridge UP, 1991), and Poole-Dayan et al. on LLM equity gaps (arXiv:2406.17737, 2024). Operationalized growth-mindset research in rubric form by measuring</w:t>
      </w:r>
      <w:r>
        <w:t xml:space="preserve"> </w:t>
      </w:r>
      <w:r>
        <w:rPr>
          <w:b/>
          <w:bCs/>
        </w:rPr>
        <w:t xml:space="preserve">dy/dx</w:t>
      </w:r>
      <w:r>
        <w:t xml:space="preserve"> </w:t>
      </w:r>
      <w:r>
        <w:t xml:space="preserve">(learning velocity) rather than absolute position. Includes per-group AI access infrastructure (System 1 with context injection, System 2 with Claude Code per-group setup,</w:t>
      </w:r>
      <w:r>
        <w:t xml:space="preserve"> </w:t>
      </w:r>
      <w:r>
        <w:rPr>
          <w:rStyle w:val="VerbatimChar"/>
        </w:rPr>
        <w:t xml:space="preserve">CLAUDE.md</w:t>
      </w:r>
      <w:r>
        <w:t xml:space="preserve"> </w:t>
      </w:r>
      <w:r>
        <w:t xml:space="preserve">guardrail files) constituting a structural mitigation of documented LLM underperformance for community-college-served populations.</w:t>
      </w:r>
    </w:p>
    <w:p>
      <w:r>
        <w:pict>
          <v:rect style="width:0;height:1.5pt" o:hralign="center" o:hrstd="t" o:hr="t"/>
        </w:pict>
      </w:r>
    </w:p>
    <w:bookmarkEnd w:id="12"/>
    <w:bookmarkStart w:id="13" w:name="bottom-line"/>
    <w:p>
      <w:pPr>
        <w:pStyle w:val="Heading2"/>
      </w:pPr>
      <w:r>
        <w:t xml:space="preserve">Bottom Line</w:t>
      </w:r>
    </w:p>
    <w:p>
      <w:pPr>
        <w:pStyle w:val="FirstParagraph"/>
      </w:pPr>
      <w:r>
        <w:t xml:space="preserve">All three specified objectives were achieved — and the supporting infrastructure that made them achievable was built in parallel and is now available for institutional reuse. The original performance objectives were written for a course delivery role. The work documented here operates at the level above — the level at which the conditions for effective course delivery are designed, built, instrumented, and made replicable. The rest of this binder is the evidence base.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2026-05-16T16:56:46Z</dcterms:created>
  <dcterms:modified xsi:type="dcterms:W3CDTF">2026-05-16T16:56:46Z</dcterms:modified>
</cp:coreProperties>
</file>

<file path=docProps/custom.xml><?xml version="1.0" encoding="utf-8"?>
<Properties xmlns="http://schemas.openxmlformats.org/officeDocument/2006/custom-properties" xmlns:vt="http://schemas.openxmlformats.org/officeDocument/2006/docPropsVTypes"/>
</file>