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Before detailing what was built and how, it is worth grounding the decision in what the field already knew.</w:t>
      </w:r>
    </w:p>
    <w:p>
      <w:pPr>
        <w:pStyle w:val="BodyText"/>
      </w:pPr>
      <w:r>
        <w:t xml:space="preserve">The question facing any program that trains future software and design professionals is not whether students will work on cross-functional teams — they will. The question is whether they will encounter that dynamic for the first time on the job, or arrive having already navigated it, failed at it, recovered from it, and built the communication habits it requires. That distinction is what this initiative addresses, and it is the reason the framework developed here represents more than a curriculum add-on.</w:t>
      </w:r>
    </w:p>
    <w:p>
      <w:pPr>
        <w:pStyle w:val="BodyText"/>
      </w:pPr>
      <w:r>
        <w:t xml:space="preserve">The national employer data makes the stakes concrete. According to the</w:t>
      </w:r>
      <w:r>
        <w:t xml:space="preserve"> </w:t>
      </w:r>
      <w:r>
        <w:rPr>
          <w:b/>
          <w:bCs/>
        </w:rPr>
        <w:t xml:space="preserve">NACE Job Outlook 2025</w:t>
      </w:r>
      <w:r>
        <w:t xml:space="preserve">, nearly 90% of recruiters actively screen for problem-solving and nearly 80% for teamwork — not as soft preferences, but as primary filters when reviewing new-graduate candidates. By 2026, 70% of employers were using skills-based hiring practices (up from 65% the previous year), while the proportion still relying on GPA had dropped to 42% — down from 73% in 2019. What employers are buying, increasingly, is demonstrated collaborative capability, and GPA is not a proxy for it.</w:t>
      </w:r>
    </w:p>
    <w:p>
      <w:pPr>
        <w:pStyle w:val="BodyText"/>
      </w:pPr>
      <w:r>
        <w:t xml:space="preserve">The workforce trajectory amplifies this. The</w:t>
      </w:r>
      <w:r>
        <w:t xml:space="preserve"> </w:t>
      </w:r>
      <w:r>
        <w:rPr>
          <w:b/>
          <w:bCs/>
        </w:rPr>
        <w:t xml:space="preserve">World Economic Forum’s</w:t>
      </w:r>
      <w:r>
        <w:rPr>
          <w:b/>
          <w:bCs/>
        </w:rPr>
        <w:t xml:space="preserve"> </w:t>
      </w:r>
      <w:r>
        <w:rPr>
          <w:b/>
          <w:bCs/>
          <w:i/>
          <w:iCs/>
        </w:rPr>
        <w:t xml:space="preserve">Future of Jobs Report 2025</w:t>
      </w:r>
      <w:r>
        <w:t xml:space="preserve"> </w:t>
      </w:r>
      <w:r>
        <w:t xml:space="preserve">projects that 39% of workers’ existing skill sets will be transformed or rendered obsolete by 2030. The skills rising to fill that gap — analytical thinking, creative reasoning, resilience, flexibility — are precisely the outputs of environments where students must negotiate across disciplines under real constraints. Credentials alone don’t build them. Cross-functional project experience does.</w:t>
      </w:r>
    </w:p>
    <w:p>
      <w:pPr>
        <w:pStyle w:val="BodyText"/>
      </w:pPr>
      <w:r>
        <w:t xml:space="preserve">There is also a documented labor-market premium on professionals who can inhabit multiple roles.</w:t>
      </w:r>
      <w:r>
        <w:t xml:space="preserve"> </w:t>
      </w:r>
      <w:r>
        <w:rPr>
          <w:b/>
          <w:bCs/>
        </w:rPr>
        <w:t xml:space="preserve">Burning Glass Technologies’</w:t>
      </w:r>
      <w:r>
        <w:rPr>
          <w:b/>
          <w:bCs/>
        </w:rPr>
        <w:t xml:space="preserve"> </w:t>
      </w:r>
      <w:r>
        <w:rPr>
          <w:b/>
          <w:bCs/>
          <w:i/>
          <w:iCs/>
        </w:rPr>
        <w:t xml:space="preserve">The Hybrid Job Economy</w:t>
      </w:r>
      <w:r>
        <w:t xml:space="preserve"> </w:t>
      </w:r>
      <w:r>
        <w:t xml:space="preserve">(2019) found that roles requiring skills at the intersection of design and development grow at approximately twice the rate of the overall job market and command 20–40% higher compensation. These roles don’t require mastery of two disciplines simultaneously — they require what IDEO CEO Tim Brown called the T-shape: disciplinary depth</w:t>
      </w:r>
      <w:r>
        <w:t xml:space="preserve"> </w:t>
      </w:r>
      <w:r>
        <w:rPr>
          <w:i/>
          <w:iCs/>
        </w:rPr>
        <w:t xml:space="preserve">plus</w:t>
      </w:r>
      <w:r>
        <w:t xml:space="preserve"> </w:t>
      </w:r>
      <w:r>
        <w:t xml:space="preserve">“the disposition for collaboration across disciplines.”</w:t>
      </w:r>
      <w:r>
        <w:t xml:space="preserve"> </w:t>
      </w:r>
      <w:r>
        <w:t xml:space="preserve">Without the latter, Brown observed,</w:t>
      </w:r>
      <w:r>
        <w:t xml:space="preserve"> </w:t>
      </w:r>
      <w:r>
        <w:t xml:space="preserve">“you get gray compromises where the best you can achieve is the lowest common denominator.”</w:t>
      </w:r>
    </w:p>
    <w:p>
      <w:pPr>
        <w:pStyle w:val="BodyText"/>
      </w:pPr>
      <w:r>
        <w:t xml:space="preserve">The research on interdisciplinary CS-and-design education at the postsecondary level confirms that the structural challenge is solvable. Heines, Jeffers, and Kuhn’s</w:t>
      </w:r>
      <w:r>
        <w:t xml:space="preserve"> </w:t>
      </w:r>
      <w:r>
        <w:rPr>
          <w:b/>
          <w:bCs/>
        </w:rPr>
        <w:t xml:space="preserve">“Performamatics”</w:t>
      </w:r>
      <w:r>
        <w:t xml:space="preserve"> </w:t>
      </w:r>
      <w:r>
        <w:t xml:space="preserve">series (</w:t>
      </w:r>
      <w:r>
        <w:rPr>
          <w:i/>
          <w:iCs/>
        </w:rPr>
        <w:t xml:space="preserve">International Journal of Learning</w:t>
      </w:r>
      <w:r>
        <w:t xml:space="preserve">, 2008; ACM SIGCSE, 2009) documented outcomes from pairing Computer Science and Design Arts students in joint projects at UMass Lowell, demonstrating measurable gains in motivation and engagement. McDonald and Wolfe’s work at DePaul (</w:t>
      </w:r>
      <w:r>
        <w:rPr>
          <w:b/>
          <w:bCs/>
        </w:rPr>
        <w:t xml:space="preserve">“Using Computer Graphics to Foster Interdisciplinary Collaboration in Capstone Courses,”</w:t>
      </w:r>
      <w:r>
        <w:t xml:space="preserve"> </w:t>
      </w:r>
      <w:r>
        <w:rPr>
          <w:i/>
          <w:iCs/>
        </w:rPr>
        <w:t xml:space="preserve">Journal of Computing Sciences in Colleges</w:t>
      </w:r>
      <w:r>
        <w:t xml:space="preserve">, 2008) noted directly that</w:t>
      </w:r>
      <w:r>
        <w:t xml:space="preserve"> </w:t>
      </w:r>
      <w:r>
        <w:t xml:space="preserve">“working effectively as a member of an interdisciplinary team is a skill highly valued by today’s employers”</w:t>
      </w:r>
      <w:r>
        <w:t xml:space="preserve"> </w:t>
      </w:r>
      <w:r>
        <w:t xml:space="preserve">— and built an interdisciplinary capstone accordingly. At scale, Georgia Tech’s Junior Design sequence (Hutter, Lawrence, McDaniel &amp; Murrell, ACM SIGCSE, 2018), serving 400–600 CS students per semester, contrasted mere parallel disciplinary labor against genuine integration, concluding that true integration results in</w:t>
      </w:r>
      <w:r>
        <w:t xml:space="preserve"> </w:t>
      </w:r>
      <w:r>
        <w:t xml:space="preserve">“a smoother end product”</w:t>
      </w:r>
      <w:r>
        <w:t xml:space="preserve"> </w:t>
      </w:r>
      <w:r>
        <w:t xml:space="preserve">— because the disciplines are allowed to inform each other rather than run in separate lanes.</w:t>
      </w:r>
    </w:p>
    <w:p>
      <w:pPr>
        <w:pStyle w:val="BodyText"/>
      </w:pPr>
      <w:r>
        <w:t xml:space="preserve">As institutions that have already made this investment continue to report stronger student outcomes and employer reception, programs without structured cross-disciplinary capstone experience are asking their graduates to learn in their first job what their peers learned in their last semester of school. This initiative was built on the premise that FTCC’s students deserve better than that starting position.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w:t>
      </w:r>
    </w:p>
    <w:p>
      <w:pPr>
        <w:pStyle w:val="Compact"/>
        <w:numPr>
          <w:ilvl w:val="0"/>
          <w:numId w:val="1005"/>
        </w:numPr>
      </w:pPr>
      <w:r>
        <w:t xml:space="preserve">5 completed projects with integrated, professional-quality design assets</w:t>
      </w:r>
    </w:p>
    <w:p>
      <w:pPr>
        <w:pStyle w:val="Compact"/>
        <w:numPr>
          <w:ilvl w:val="0"/>
          <w:numId w:val="1005"/>
        </w:numPr>
      </w:pPr>
      <w:r>
        <w:t xml:space="preserve">100% milestone completion across all five pairings</w:t>
      </w:r>
    </w:p>
    <w:p>
      <w:pPr>
        <w:pStyle w:val="Compact"/>
        <w:numPr>
          <w:ilvl w:val="0"/>
          <w:numId w:val="1005"/>
        </w:numPr>
      </w:pPr>
      <w:r>
        <w:t xml:space="preserve">Average collaboration rubric score:</w:t>
      </w:r>
      <w:r>
        <w:t xml:space="preserve"> </w:t>
      </w:r>
      <w:r>
        <w:rPr>
          <w:b/>
          <w:bCs/>
        </w:rPr>
        <w:t xml:space="preserve">87/100</w:t>
      </w:r>
    </w:p>
    <w:p>
      <w:pPr>
        <w:pStyle w:val="FirstParagraph"/>
      </w:pPr>
      <w:r>
        <w:rPr>
          <w:b/>
          <w:bCs/>
        </w:rPr>
        <w:t xml:space="preserve">Qualitative outcomes:</w:t>
      </w:r>
    </w:p>
    <w:p>
      <w:pPr>
        <w:pStyle w:val="Compact"/>
        <w:numPr>
          <w:ilvl w:val="0"/>
          <w:numId w:val="1006"/>
        </w:numPr>
      </w:pPr>
      <w:r>
        <w:t xml:space="preserve">CS teams reported that design integration substantially improved perceived project quality</w:t>
      </w:r>
    </w:p>
    <w:p>
      <w:pPr>
        <w:pStyle w:val="Compact"/>
        <w:numPr>
          <w:ilvl w:val="0"/>
          <w:numId w:val="1006"/>
        </w:numPr>
      </w:pPr>
      <w:r>
        <w:t xml:space="preserve">GRD students reported meaningful gains in understanding technical constraints and iterative feedback processes</w:t>
      </w:r>
    </w:p>
    <w:p>
      <w:pPr>
        <w:pStyle w:val="Compact"/>
        <w:numPr>
          <w:ilvl w:val="0"/>
          <w:numId w:val="1006"/>
        </w:numPr>
      </w:pPr>
      <w:r>
        <w:t xml:space="preserve">Both cohorts identified the formal handoff structure as the element most responsible for reducing last-minute communication crises</w:t>
      </w:r>
    </w:p>
    <w:p>
      <w:pPr>
        <w:pStyle w:val="Compact"/>
        <w:numPr>
          <w:ilvl w:val="0"/>
          <w:numId w:val="1006"/>
        </w:numPr>
      </w:pPr>
      <w:r>
        <w:t xml:space="preserve">Both departments expressed interest in continuing the protocol for subsequent terms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21" w:name="Xd96115032d37b6fe81875b8d494d18a79f8db6f"/>
    <w:p>
      <w:pPr>
        <w:pStyle w:val="Heading2"/>
      </w:pPr>
      <w:r>
        <w:t xml:space="preserve">Institutional Value: Infrastructure, Not Just Outcome</w:t>
      </w:r>
    </w:p>
    <w:bookmarkStart w:id="18" w:name="a-replicable-framework"/>
    <w:p>
      <w:pPr>
        <w:pStyle w:val="Heading3"/>
      </w:pPr>
      <w:r>
        <w:t xml:space="preserve">A Replicable Framework</w:t>
      </w:r>
    </w:p>
    <w:p>
      <w:pPr>
        <w:pStyle w:val="FirstParagraph"/>
      </w:pPr>
      <w:r>
        <w:t xml:space="preserve">The protocols created here are not semester-specific documentation — they are reusable infrastructure. When a process is documented once and works, the cost of repeating it falls dramatically. When it fails in some respect, the documentation makes the failure diagnosable and correctable rather than mysterious.</w:t>
      </w:r>
    </w:p>
    <w:p>
      <w:pPr>
        <w:pStyle w:val="Compact"/>
        <w:numPr>
          <w:ilvl w:val="0"/>
          <w:numId w:val="1007"/>
        </w:numPr>
      </w:pPr>
      <w:r>
        <w:rPr>
          <w:b/>
          <w:bCs/>
        </w:rPr>
        <w:t xml:space="preserve">Spring 2026:</w:t>
      </w:r>
      <w:r>
        <w:t xml:space="preserve"> </w:t>
      </w:r>
      <w:r>
        <w:t xml:space="preserve">First full implementation (completed).</w:t>
      </w:r>
    </w:p>
    <w:p>
      <w:pPr>
        <w:pStyle w:val="Compact"/>
        <w:numPr>
          <w:ilvl w:val="0"/>
          <w:numId w:val="1007"/>
        </w:numPr>
      </w:pPr>
      <w:r>
        <w:rPr>
          <w:b/>
          <w:bCs/>
        </w:rPr>
        <w:t xml:space="preserve">Fall 2026:</w:t>
      </w:r>
      <w:r>
        <w:t xml:space="preserve"> </w:t>
      </w:r>
      <w:r>
        <w:t xml:space="preserve">Protocol refinement based on retrospective feedback.</w:t>
      </w:r>
    </w:p>
    <w:p>
      <w:pPr>
        <w:pStyle w:val="Compact"/>
        <w:numPr>
          <w:ilvl w:val="0"/>
          <w:numId w:val="1007"/>
        </w:numPr>
      </w:pPr>
      <w:r>
        <w:rPr>
          <w:b/>
          <w:bCs/>
        </w:rPr>
        <w:t xml:space="preserve">Future terms:</w:t>
      </w:r>
      <w:r>
        <w:t xml:space="preserve"> </w:t>
      </w:r>
      <w:r>
        <w:t xml:space="preserve">Standardized framework with embedded continuous improvement.</w:t>
      </w:r>
    </w:p>
    <w:bookmarkEnd w:id="18"/>
    <w:bookmarkStart w:id="19" w:name="a-template-for-adjacent-collaborations"/>
    <w:p>
      <w:pPr>
        <w:pStyle w:val="Heading3"/>
      </w:pPr>
      <w:r>
        <w:t xml:space="preserve">A Template for Adjacent Collaborations</w:t>
      </w:r>
    </w:p>
    <w:p>
      <w:pPr>
        <w:pStyle w:val="FirstParagraph"/>
      </w:pPr>
      <w:r>
        <w:t xml:space="preserve">The structured collaboration approach is now available as a model for other cross-departmental pairings the institution may pursue:</w:t>
      </w:r>
    </w:p>
    <w:p>
      <w:pPr>
        <w:pStyle w:val="Compact"/>
        <w:numPr>
          <w:ilvl w:val="0"/>
          <w:numId w:val="1008"/>
        </w:numPr>
      </w:pPr>
      <w:r>
        <w:t xml:space="preserve">Web Development + Graphic Design partnerships</w:t>
      </w:r>
    </w:p>
    <w:p>
      <w:pPr>
        <w:pStyle w:val="Compact"/>
        <w:numPr>
          <w:ilvl w:val="0"/>
          <w:numId w:val="1008"/>
        </w:numPr>
      </w:pPr>
      <w:r>
        <w:t xml:space="preserve">Database courses + Business Analytics integration</w:t>
      </w:r>
    </w:p>
    <w:p>
      <w:pPr>
        <w:pStyle w:val="Compact"/>
        <w:numPr>
          <w:ilvl w:val="0"/>
          <w:numId w:val="1008"/>
        </w:numPr>
      </w:pPr>
      <w:r>
        <w:t xml:space="preserve">Mobile Development + User Experience research</w:t>
      </w:r>
    </w:p>
    <w:p>
      <w:pPr>
        <w:pStyle w:val="FirstParagraph"/>
      </w:pPr>
      <w:r>
        <w:t xml:space="preserve">Any program pairing where disciplinary handoffs are the primary design challenge can adopt this framework’s milestone structure, brief protocol, and rubric architecture without building from scratch.</w:t>
      </w:r>
    </w:p>
    <w:bookmarkEnd w:id="19"/>
    <w:bookmarkStart w:id="20" w:name="X04a6e19a05756ec4a8152f6b11d1cbdbf865a11"/>
    <w:p>
      <w:pPr>
        <w:pStyle w:val="Heading3"/>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20"/>
    <w:bookmarkEnd w:id="21"/>
    <w:bookmarkStart w:id="22" w:name="conclusion-objective-exceeded"/>
    <w:p>
      <w:pPr>
        <w:pStyle w:val="Heading2"/>
      </w:pPr>
      <w:r>
        <w:t xml:space="preserve">Conclusion: Objective Exceeded</w:t>
      </w:r>
    </w:p>
    <w:p>
      <w:pPr>
        <w:pStyle w:val="FirstParagraph"/>
      </w:pPr>
      <w:r>
        <w:rPr>
          <w:b/>
          <w:bCs/>
        </w:rPr>
        <w:t xml:space="preserve">Minimum requirement:</w:t>
      </w:r>
      <w:r>
        <w:t xml:space="preserve"> </w:t>
      </w:r>
      <w:r>
        <w:t xml:space="preserve">Document Creative Brief process, establish three touchpoints, create collaboration rubrics.</w:t>
      </w:r>
    </w:p>
    <w:p>
      <w:pPr>
        <w:pStyle w:val="BodyText"/>
      </w:pPr>
      <w:r>
        <w:rPr>
          <w:b/>
          <w:bCs/>
        </w:rPr>
        <w:t xml:space="preserve">Actual delivery:</w:t>
      </w:r>
    </w:p>
    <w:p>
      <w:pPr>
        <w:pStyle w:val="Compact"/>
        <w:numPr>
          <w:ilvl w:val="0"/>
          <w:numId w:val="1009"/>
        </w:numPr>
      </w:pPr>
      <w:r>
        <w:t xml:space="preserve">Comprehensive cross-departmental framework with full process documentation</w:t>
      </w:r>
    </w:p>
    <w:p>
      <w:pPr>
        <w:pStyle w:val="Compact"/>
        <w:numPr>
          <w:ilvl w:val="0"/>
          <w:numId w:val="1009"/>
        </w:numPr>
      </w:pPr>
      <w:r>
        <w:t xml:space="preserve">Milestone structure integrated with Scrum methodology and Scrum Alliance cross-functional team norms</w:t>
      </w:r>
    </w:p>
    <w:p>
      <w:pPr>
        <w:pStyle w:val="Compact"/>
        <w:numPr>
          <w:ilvl w:val="0"/>
          <w:numId w:val="1009"/>
        </w:numPr>
      </w:pPr>
      <w:r>
        <w:t xml:space="preserve">Multi-dimensional assessment rubric with empirical grounding in collaboration-competency literature</w:t>
      </w:r>
    </w:p>
    <w:p>
      <w:pPr>
        <w:pStyle w:val="Compact"/>
        <w:numPr>
          <w:ilvl w:val="0"/>
          <w:numId w:val="1009"/>
        </w:numPr>
      </w:pPr>
      <w:r>
        <w:t xml:space="preserve">Successful first implementation with five completed, publicly presented projects</w:t>
      </w:r>
    </w:p>
    <w:p>
      <w:pPr>
        <w:pStyle w:val="Compact"/>
        <w:numPr>
          <w:ilvl w:val="0"/>
          <w:numId w:val="1009"/>
        </w:numPr>
      </w:pPr>
      <w:r>
        <w:t xml:space="preserve">Replicable protocol positioned for institutional reuse and adjacent-program adoption</w:t>
      </w:r>
    </w:p>
    <w:p>
      <w:pPr>
        <w:pStyle w:val="FirstParagraph"/>
      </w:pPr>
      <w:r>
        <w:t xml:space="preserve">The research had already established that this approach works. The employer data had already established that these skills are what the market requires. What remained was the institutional will to build it and the execution discipline to make it run.</w:t>
      </w:r>
    </w:p>
    <w:p>
      <w:pPr>
        <w:pStyle w:val="BodyText"/>
      </w:pPr>
      <w:r>
        <w:t xml:space="preserve">Both are now demonstrated.</w:t>
      </w:r>
    </w:p>
    <w:p>
      <w:pPr>
        <w:pStyle w:val="BodyText"/>
      </w:pPr>
      <w:r>
        <w:rPr>
          <w:b/>
          <w:bCs/>
        </w:rPr>
        <w:t xml:space="preserve">Assessment:</w:t>
      </w:r>
      <w:r>
        <w:t xml:space="preserve"> </w:t>
      </w:r>
      <w:r>
        <w:t xml:space="preserve">Objective not merely met, but exceeded — with infrastructure of lasting institutional value.</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