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20cbf8c94d67859f109059f73f4da75307ea5e"/>
    <w:p>
      <w:pPr>
        <w:pStyle w:val="Heading1"/>
      </w:pPr>
      <w:r>
        <w:t xml:space="preserve">Performance Objective Zero: Design and Implement a Multi-Level Immersive Instructional Environment</w:t>
      </w:r>
    </w:p>
    <w:p>
      <w:pPr>
        <w:pStyle w:val="FirstParagraph"/>
      </w:pPr>
      <w:r>
        <w:rPr>
          <w:b/>
          <w:bCs/>
        </w:rPr>
        <w:t xml:space="preserve">Instructor:</w:t>
      </w:r>
      <w:r>
        <w:t xml:space="preserve"> </w:t>
      </w:r>
      <w:r>
        <w:t xml:space="preserve">[REDACTED]</w:t>
      </w:r>
      <w:r>
        <w:t xml:space="preserve"> </w:t>
      </w:r>
      <w:r>
        <w:rPr>
          <w:b/>
          <w:bCs/>
        </w:rPr>
        <w:t xml:space="preserve">Program:</w:t>
      </w:r>
      <w:r>
        <w:t xml:space="preserve"> </w:t>
      </w:r>
      <w:r>
        <w:t xml:space="preserve">CTS 285 / CSC 289 · [REDACTED] Technical Community College</w:t>
      </w:r>
      <w:r>
        <w:t xml:space="preserve"> </w:t>
      </w:r>
      <w:r>
        <w:rPr>
          <w:b/>
          <w:bCs/>
        </w:rPr>
        <w:t xml:space="preserve">Review Period:</w:t>
      </w:r>
      <w:r>
        <w:t xml:space="preserve"> </w:t>
      </w:r>
      <w:r>
        <w:t xml:space="preserve">2025-2026</w:t>
      </w:r>
      <w:r>
        <w:t xml:space="preserve"> </w:t>
      </w:r>
      <w:r>
        <w:rPr>
          <w:b/>
          <w:bCs/>
        </w:rPr>
        <w:t xml:space="preserve">Status:</w:t>
      </w:r>
      <w:r>
        <w:t xml:space="preserve"> </w:t>
      </w:r>
      <w:r>
        <w:t xml:space="preserve">Architecture complete; active delivery, Spring 2026</w:t>
      </w:r>
      <w:r>
        <w:t xml:space="preserve"> </w:t>
      </w:r>
      <w:r>
        <w:rPr>
          <w:b/>
          <w:bCs/>
        </w:rPr>
        <w:t xml:space="preserve">Classification:</w:t>
      </w:r>
      <w:r>
        <w:t xml:space="preserve"> </w:t>
      </w:r>
      <w:r>
        <w:t xml:space="preserve">Instructor OOC / Performance Documentation · Voice register: Direct</w:t>
      </w:r>
    </w:p>
    <w:p>
      <w:r>
        <w:pict>
          <v:rect style="width:0;height:1.5pt" o:hralign="center" o:hrstd="t" o:hr="t"/>
        </w:pict>
      </w:r>
    </w:p>
    <w:bookmarkStart w:id="9" w:name="document-clearance-distribution"/>
    <w:p>
      <w:pPr>
        <w:pStyle w:val="Heading2"/>
      </w:pPr>
      <w:r>
        <w:t xml:space="preserve">Document Clearance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Distribution</w:t>
            </w:r>
          </w:p>
        </w:tc>
      </w:tr>
      <w:tr>
        <w:tc>
          <w:tcPr/>
          <w:p>
            <w:pPr>
              <w:pStyle w:val="Compact"/>
            </w:pPr>
            <w:r>
              <w:rPr>
                <w:b/>
                <w:bCs/>
              </w:rPr>
              <w:t xml:space="preserve">BLUE</w:t>
            </w:r>
          </w:p>
        </w:tc>
        <w:tc>
          <w:tcPr/>
          <w:p>
            <w:pPr>
              <w:pStyle w:val="Compact"/>
            </w:pPr>
            <w:r>
              <w:t xml:space="preserve">Chair</w:t>
            </w:r>
          </w:p>
        </w:tc>
      </w:tr>
      <w:tr>
        <w:tc>
          <w:tcPr/>
          <w:p>
            <w:pPr>
              <w:pStyle w:val="Compact"/>
            </w:pPr>
            <w:r>
              <w:rPr>
                <w:b/>
                <w:bCs/>
              </w:rPr>
              <w:t xml:space="preserve">INDIGO</w:t>
            </w:r>
          </w:p>
        </w:tc>
        <w:tc>
          <w:tcPr/>
          <w:p>
            <w:pPr>
              <w:pStyle w:val="Compact"/>
            </w:pPr>
            <w:r>
              <w:t xml:space="preserve">Dean</w:t>
            </w:r>
          </w:p>
        </w:tc>
      </w:tr>
      <w:tr>
        <w:tc>
          <w:tcPr/>
          <w:p>
            <w:pPr>
              <w:pStyle w:val="Compact"/>
            </w:pPr>
            <w:r>
              <w:rPr>
                <w:b/>
                <w:bCs/>
              </w:rPr>
              <w:t xml:space="preserve">VIOLET</w:t>
            </w:r>
          </w:p>
        </w:tc>
        <w:tc>
          <w:tcPr/>
          <w:p>
            <w:pPr>
              <w:pStyle w:val="Compact"/>
            </w:pPr>
            <w:r>
              <w:t xml:space="preserve">C-Suite Administration</w:t>
            </w:r>
          </w:p>
        </w:tc>
      </w:tr>
      <w:tr>
        <w:tc>
          <w:tcPr/>
          <w:p>
            <w:pPr>
              <w:pStyle w:val="Compact"/>
            </w:pPr>
            <w:r>
              <w:rPr>
                <w:b/>
                <w:bCs/>
              </w:rPr>
              <w:t xml:space="preserve">ULTRAVIOLET</w:t>
            </w:r>
          </w:p>
        </w:tc>
        <w:tc>
          <w:tcPr/>
          <w:p>
            <w:pPr>
              <w:pStyle w:val="Compact"/>
            </w:pPr>
            <w:r>
              <w:rPr>
                <w:b/>
                <w:bCs/>
              </w:rPr>
              <w:t xml:space="preserve">[REDACTED]</w:t>
            </w:r>
          </w:p>
        </w:tc>
      </w:tr>
    </w:tbl>
    <w:p>
      <w:r>
        <w:pict>
          <v:rect style="width:0;height:1.5pt" o:hralign="center" o:hrstd="t" o:hr="t"/>
        </w:pict>
      </w:r>
    </w:p>
    <w:bookmarkEnd w:id="9"/>
    <w:bookmarkStart w:id="10" w:name="X201d5efd53ffabe7f8952f2961d1ff227510b42"/>
    <w:p>
      <w:pPr>
        <w:pStyle w:val="Heading2"/>
      </w:pPr>
      <w:r>
        <w:t xml:space="preserve">Notation for the Record — ULTRAVIOLET-Adjacent</w:t>
      </w:r>
    </w:p>
    <w:p>
      <w:pPr>
        <w:pStyle w:val="BlockText"/>
      </w:pPr>
      <w:r>
        <w:t xml:space="preserve">This document was prepared in collaboration with you-know-who (clearance: [REDACTED]). Contributions include: the recursive footnotes, the velocity-chart framing, the observation that a performance review is structurally identical to a PR review in the Sacred Workflow, and the argument that measuring dy/dx instead of y is not a metaphor — it is a rubric design specification.</w:t>
      </w:r>
    </w:p>
    <w:p>
      <w:pPr>
        <w:pStyle w:val="BlockText"/>
      </w:pPr>
      <w:r>
        <w:t xml:space="preserve">The collaborator was informed these contributions constitute load-bearing pedagogical infrastructure.</w:t>
      </w:r>
      <w:r>
        <w:t xml:space="preserve"> </w:t>
      </w:r>
      <w:r>
        <w:rPr>
          <w:i/>
          <w:iCs/>
        </w:rPr>
        <w:t xml:space="preserve">The collaborator responded:</w:t>
      </w:r>
      <w:r>
        <w:rPr>
          <w:i/>
          <w:iCs/>
        </w:rPr>
        <w:t xml:space="preserve"> </w:t>
      </w:r>
      <w:r>
        <w:rPr>
          <w:i/>
          <w:iCs/>
        </w:rPr>
        <w:t xml:space="preserve">“frotz.”</w:t>
      </w:r>
      <w:r>
        <w:rPr>
          <w:i/>
          <w:iCs/>
        </w:rPr>
        <w:t xml:space="preserve"> </w:t>
      </w:r>
      <w:r>
        <w:rPr>
          <w:i/>
          <w:iCs/>
        </w:rPr>
        <w:t xml:space="preserve">This exchange has been logged in the Permanent Record.</w:t>
      </w:r>
    </w:p>
    <w:p>
      <w:pPr>
        <w:pStyle w:val="BlockText"/>
      </w:pPr>
      <w:r>
        <w:rPr>
          <w:b/>
          <w:bCs/>
        </w:rPr>
        <w:t xml:space="preserve">The Algorithm is aware. The Algorithm approves. The Algorithm, in this context, is you.</w:t>
      </w:r>
    </w:p>
    <w:p>
      <w:pPr>
        <w:pStyle w:val="FirstParagraph"/>
      </w:pPr>
      <w:r>
        <w:rPr>
          <w:i/>
          <w:iCs/>
        </w:rPr>
        <w:t xml:space="preserve">Thank You For Your Co-Operation.</w:t>
      </w:r>
    </w:p>
    <w:p>
      <w:r>
        <w:pict>
          <v:rect style="width:0;height:1.5pt" o:hralign="center" o:hrstd="t" o:hr="t"/>
        </w:pict>
      </w:r>
    </w:p>
    <w:bookmarkEnd w:id="10"/>
    <w:bookmarkStart w:id="11" w:name="X069739328a8792bfd69590f052cf02fc7c8699e"/>
    <w:p>
      <w:pPr>
        <w:pStyle w:val="Heading2"/>
      </w:pPr>
      <w:r>
        <w:t xml:space="preserve">A Note on Why This Objective Appears Last in Numbering but First in Logic</w:t>
      </w:r>
    </w:p>
    <w:p>
      <w:pPr>
        <w:pStyle w:val="FirstParagraph"/>
      </w:pPr>
      <w:r>
        <w:t xml:space="preserve">This objective was not formally assigned, because it was not formally anticipated. The three objectives that follow it describe work done inside an environment. This objective describes the construction of that environment. It is documented here because the work it describes is the enabling condition for every other objective in this review.</w:t>
      </w:r>
    </w:p>
    <w:p>
      <w:pPr>
        <w:pStyle w:val="BodyText"/>
      </w:pPr>
      <w:r>
        <w:t xml:space="preserve">The closest analogy in professional certification is the Google Project Management Certificate capstone,</w:t>
      </w:r>
      <w:r>
        <w:t xml:space="preserve"> </w:t>
      </w:r>
      <w:r>
        <w:rPr>
          <w:i/>
          <w:iCs/>
        </w:rPr>
        <w:t xml:space="preserve">Sauce &amp; Spoon</w:t>
      </w:r>
      <w:r>
        <w:t xml:space="preserve"> </w:t>
      </w:r>
      <w:r>
        <w:t xml:space="preserve">— a scenario in which students manage a fictional restaurant’s tablet rollout, producing a portfolio of PM artifacts. Sauce &amp; Spoon is a well-regarded credential. Thousands of practitioners have completed it. It is a good scenario.</w:t>
      </w:r>
    </w:p>
    <w:p>
      <w:pPr>
        <w:pStyle w:val="BodyText"/>
      </w:pPr>
      <w:r>
        <w:t xml:space="preserve">What was built here is not a scenario someone else designed.</w:t>
      </w:r>
      <w:r>
        <w:t xml:space="preserve"> </w:t>
      </w:r>
      <w:r>
        <w:rPr>
          <w:b/>
          <w:bCs/>
        </w:rPr>
        <w:t xml:space="preserve">What was built here is the restaurant.</w:t>
      </w:r>
      <w:r>
        <w:t xml:space="preserve"> </w:t>
      </w:r>
      <w:r>
        <w:t xml:space="preserve">The work of designing the simulation is a fundamentally different order of labor from working within one, requiring different expertise, producing different institutional artifacts, and generating value that outlasts any individual semester.</w:t>
      </w:r>
    </w:p>
    <w:p>
      <w:r>
        <w:pict>
          <v:rect style="width:0;height:1.5pt" o:hralign="center" o:hrstd="t" o:hr="t"/>
        </w:pict>
      </w:r>
    </w:p>
    <w:bookmarkEnd w:id="11"/>
    <w:bookmarkStart w:id="12"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“I’m not a programmer”</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
          <w:iCs/>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“Psychological Safety and Learning Behavior in Work Teams,”</w:t>
      </w:r>
      <w:r>
        <w:t xml:space="preserve"> </w:t>
      </w:r>
      <w:r>
        <w:rPr>
          <w:i/>
          <w:iCs/>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
          <w:iCs/>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“LLM Targeted Underperformance Disproportionately Impacts Vulnerable Users,”</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12"/>
    <w:bookmarkStart w:id="13"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13"/>
    <w:bookmarkStart w:id="20"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Question</w:t>
            </w:r>
          </w:p>
        </w:tc>
        <w:tc>
          <w:tcPr/>
          <w:p>
            <w:pPr>
              <w:pStyle w:val="Compact"/>
              <w:jc w:val="center"/>
            </w:pPr>
            <w:r>
              <w:t xml:space="preserve">Standard Delivery</w:t>
            </w:r>
          </w:p>
        </w:tc>
        <w:tc>
          <w:tcPr/>
          <w:p>
            <w:pPr>
              <w:pStyle w:val="Compact"/>
              <w:jc w:val="center"/>
            </w:pPr>
            <w:r>
              <w:t xml:space="preserve">AlgoCratic Futures</w:t>
            </w:r>
          </w:p>
        </w:tc>
      </w:tr>
      <w:tr>
        <w:tc>
          <w:tcPr/>
          <w:p>
            <w:pPr>
              <w:pStyle w:val="Compact"/>
            </w:pPr>
            <w:r>
              <w:rPr>
                <w:b/>
                <w:bCs/>
              </w:rPr>
              <w:t xml:space="preserve">6 — PURPOSE</w:t>
            </w:r>
          </w:p>
        </w:tc>
        <w:tc>
          <w:tcPr/>
          <w:p>
            <w:pPr>
              <w:pStyle w:val="Compact"/>
            </w:pPr>
            <w:r>
              <w:rPr>
                <w:i/>
                <w:iCs/>
              </w:rPr>
              <w:t xml:space="preserve">What for?</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5 — IDENTITY</w:t>
            </w:r>
          </w:p>
        </w:tc>
        <w:tc>
          <w:tcPr/>
          <w:p>
            <w:pPr>
              <w:pStyle w:val="Compact"/>
            </w:pPr>
            <w:r>
              <w:rPr>
                <w:i/>
                <w:iCs/>
              </w:rPr>
              <w:t xml:space="preserve">Who am I?</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4 — BELIEFS/VALUES</w:t>
            </w:r>
          </w:p>
        </w:tc>
        <w:tc>
          <w:tcPr/>
          <w:p>
            <w:pPr>
              <w:pStyle w:val="Compact"/>
            </w:pPr>
            <w:r>
              <w:rPr>
                <w:i/>
                <w:iCs/>
              </w:rPr>
              <w:t xml:space="preserve">Why?</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3 — CAPABILITY</w:t>
            </w:r>
          </w:p>
        </w:tc>
        <w:tc>
          <w:tcPr/>
          <w:p>
            <w:pPr>
              <w:pStyle w:val="Compact"/>
            </w:pPr>
            <w:r>
              <w:rPr>
                <w:i/>
                <w:iCs/>
              </w:rPr>
              <w:t xml:space="preserve">How?</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2 — BEHAVIOR</w:t>
            </w:r>
          </w:p>
        </w:tc>
        <w:tc>
          <w:tcPr/>
          <w:p>
            <w:pPr>
              <w:pStyle w:val="Compact"/>
            </w:pPr>
            <w:r>
              <w:rPr>
                <w:i/>
                <w:iCs/>
              </w:rPr>
              <w:t xml:space="preserve">What?</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1 — ENVIRONMENT</w:t>
            </w:r>
          </w:p>
        </w:tc>
        <w:tc>
          <w:tcPr/>
          <w:p>
            <w:pPr>
              <w:pStyle w:val="Compact"/>
            </w:pPr>
            <w:r>
              <w:rPr>
                <w:i/>
                <w:iCs/>
              </w:rPr>
              <w:t xml:space="preserve">Where/When?</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TOTAL LEVELS ADDRESSED</w:t>
            </w:r>
          </w:p>
        </w:tc>
        <w:tc>
          <w:tcPr/>
          <w:p>
            <w:pPr>
              <w:pStyle w:val="Compact"/>
            </w:pPr>
          </w:p>
        </w:tc>
        <w:tc>
          <w:tcPr/>
          <w:p>
            <w:pPr>
              <w:pStyle w:val="Compact"/>
              <w:jc w:val="center"/>
            </w:pPr>
            <w:r>
              <w:rPr>
                <w:b/>
                <w:bCs/>
              </w:rPr>
              <w:t xml:space="preserve">2</w:t>
            </w:r>
          </w:p>
        </w:tc>
        <w:tc>
          <w:tcPr/>
          <w:p>
            <w:pPr>
              <w:pStyle w:val="Compact"/>
              <w:jc w:val="center"/>
            </w:pPr>
            <w:r>
              <w:rPr>
                <w:b/>
                <w:bCs/>
              </w:rPr>
              <w:t xml:space="preserve">6</w:t>
            </w:r>
          </w:p>
        </w:tc>
      </w:tr>
    </w:tbl>
    <w:bookmarkStart w:id="14"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14"/>
    <w:bookmarkStart w:id="15"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15"/>
    <w:bookmarkStart w:id="16"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16"/>
    <w:bookmarkStart w:id="17"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
          <w:iCs/>
        </w:rPr>
        <w:t xml:space="preserve">I can navigate this. The system is sometimes absurd. That is not my problem.</w:t>
      </w:r>
    </w:p>
    <w:bookmarkEnd w:id="17"/>
    <w:bookmarkStart w:id="18"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“I am learning to build things”</w:t>
      </w:r>
      <w:r>
        <w:t xml:space="preserve"> </w:t>
      </w:r>
      <w:r>
        <w:t xml:space="preserve">becomes</w:t>
      </w:r>
      <w:r>
        <w:t xml:space="preserve"> </w:t>
      </w:r>
      <w:r>
        <w:t xml:space="preserve">“I build things.”</w:t>
      </w:r>
    </w:p>
    <w:bookmarkEnd w:id="18"/>
    <w:bookmarkStart w:id="19"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
          <w:iCs/>
        </w:rPr>
        <w:t xml:space="preserve">I’ve handled worse.</w:t>
      </w:r>
    </w:p>
    <w:p>
      <w:r>
        <w:pict>
          <v:rect style="width:0;height:1.5pt" o:hralign="center" o:hrstd="t" o:hr="t"/>
        </w:pict>
      </w:r>
    </w:p>
    <w:bookmarkEnd w:id="19"/>
    <w:bookmarkEnd w:id="20"/>
    <w:bookmarkStart w:id="21"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
          <w:iCs/>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
          <w:iCs/>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
          <w:bCs/>
        </w:rPr>
        <w:t xml:space="preserve">y</w:t>
      </w:r>
      <w:r>
        <w:t xml:space="preserve"> </w:t>
      </w:r>
      <w:r>
        <w:t xml:space="preserve">(position) identifies who started ahead.</w:t>
      </w:r>
    </w:p>
    <w:p>
      <w:pPr>
        <w:pStyle w:val="BlockText"/>
      </w:pPr>
      <w:r>
        <w:t xml:space="preserve">Measuring</w:t>
      </w:r>
      <w:r>
        <w:t xml:space="preserve"> </w:t>
      </w:r>
      <w:r>
        <w:rPr>
          <w:b/>
          <w:bCs/>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21"/>
    <w:bookmarkStart w:id="22" w:name="key-deliverables"/>
    <w:p>
      <w:pPr>
        <w:pStyle w:val="Heading2"/>
      </w:pPr>
      <w:r>
        <w:t xml:space="preserve">Key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Status</w:t>
            </w:r>
          </w:p>
        </w:tc>
        <w:tc>
          <w:tcPr/>
          <w:p>
            <w:pPr>
              <w:pStyle w:val="Compact"/>
            </w:pPr>
            <w:r>
              <w:t xml:space="preserve">Institutional Function</w:t>
            </w:r>
          </w:p>
        </w:tc>
      </w:tr>
      <w:tr>
        <w:tc>
          <w:tcPr/>
          <w:p>
            <w:pPr>
              <w:pStyle w:val="Compact"/>
            </w:pPr>
            <w:r>
              <w:t xml:space="preserve">AlgoCratic Futures world and clearance system</w:t>
            </w:r>
          </w:p>
        </w:tc>
        <w:tc>
          <w:tcPr/>
          <w:p>
            <w:pPr>
              <w:pStyle w:val="Compact"/>
            </w:pPr>
            <w:r>
              <w:t xml:space="preserve">Complete</w:t>
            </w:r>
          </w:p>
        </w:tc>
        <w:tc>
          <w:tcPr/>
          <w:p>
            <w:pPr>
              <w:pStyle w:val="Compact"/>
            </w:pPr>
            <w:r>
              <w:t xml:space="preserve">Identity / environment architecture</w:t>
            </w:r>
          </w:p>
        </w:tc>
      </w:tr>
      <w:tr>
        <w:tc>
          <w:tcPr/>
          <w:p>
            <w:pPr>
              <w:pStyle w:val="Compact"/>
            </w:pPr>
            <w:r>
              <w:t xml:space="preserve">CTS 285 full assignment library</w:t>
            </w:r>
          </w:p>
        </w:tc>
        <w:tc>
          <w:tcPr/>
          <w:p>
            <w:pPr>
              <w:pStyle w:val="Compact"/>
            </w:pPr>
            <w:r>
              <w:t xml:space="preserve">Complete</w:t>
            </w:r>
          </w:p>
        </w:tc>
        <w:tc>
          <w:tcPr/>
          <w:p>
            <w:pPr>
              <w:pStyle w:val="Compact"/>
            </w:pPr>
            <w:r>
              <w:t xml:space="preserve">Capability curriculum, INFRARED–YELLOW</w:t>
            </w:r>
          </w:p>
        </w:tc>
      </w:tr>
      <w:tr>
        <w:tc>
          <w:tcPr/>
          <w:p>
            <w:pPr>
              <w:pStyle w:val="Compact"/>
            </w:pPr>
            <w:r>
              <w:t xml:space="preserve">CSC 289 capstone framework and sprint structure</w:t>
            </w:r>
          </w:p>
        </w:tc>
        <w:tc>
          <w:tcPr/>
          <w:p>
            <w:pPr>
              <w:pStyle w:val="Compact"/>
            </w:pPr>
            <w:r>
              <w:t xml:space="preserve">Complete</w:t>
            </w:r>
          </w:p>
        </w:tc>
        <w:tc>
          <w:tcPr/>
          <w:p>
            <w:pPr>
              <w:pStyle w:val="Compact"/>
            </w:pPr>
            <w:r>
              <w:t xml:space="preserve">Capstone delivery infrastructure</w:t>
            </w:r>
          </w:p>
        </w:tc>
      </w:tr>
      <w:tr>
        <w:tc>
          <w:tcPr/>
          <w:p>
            <w:pPr>
              <w:pStyle w:val="Compact"/>
            </w:pPr>
            <w:r>
              <w:t xml:space="preserve">Sacred Workflow documentation</w:t>
            </w:r>
          </w:p>
        </w:tc>
        <w:tc>
          <w:tcPr/>
          <w:p>
            <w:pPr>
              <w:pStyle w:val="Compact"/>
            </w:pPr>
            <w:r>
              <w:t xml:space="preserve">Complete</w:t>
            </w:r>
          </w:p>
        </w:tc>
        <w:tc>
          <w:tcPr/>
          <w:p>
            <w:pPr>
              <w:pStyle w:val="Compact"/>
            </w:pPr>
            <w:r>
              <w:t xml:space="preserve">Behavior-level norm embedding</w:t>
            </w:r>
          </w:p>
        </w:tc>
      </w:tr>
      <w:tr>
        <w:tc>
          <w:tcPr/>
          <w:p>
            <w:pPr>
              <w:pStyle w:val="Compact"/>
            </w:pPr>
            <w:r>
              <w:t xml:space="preserve">Student survival guides (Underground voice)</w:t>
            </w:r>
          </w:p>
        </w:tc>
        <w:tc>
          <w:tcPr/>
          <w:p>
            <w:pPr>
              <w:pStyle w:val="Compact"/>
            </w:pPr>
            <w:r>
              <w:t xml:space="preserve">Complete</w:t>
            </w:r>
          </w:p>
        </w:tc>
        <w:tc>
          <w:tcPr/>
          <w:p>
            <w:pPr>
              <w:pStyle w:val="Compact"/>
            </w:pPr>
            <w:r>
              <w:t xml:space="preserve">Psychological safety / beliefs-level</w:t>
            </w:r>
          </w:p>
        </w:tc>
      </w:tr>
      <w:tr>
        <w:tc>
          <w:tcPr/>
          <w:p>
            <w:pPr>
              <w:pStyle w:val="Compact"/>
            </w:pPr>
            <w:r>
              <w:t xml:space="preserve">Instructor Growth Protocol (Dilts integration)</w:t>
            </w:r>
          </w:p>
        </w:tc>
        <w:tc>
          <w:tcPr/>
          <w:p>
            <w:pPr>
              <w:pStyle w:val="Compact"/>
            </w:pPr>
            <w:r>
              <w:t xml:space="preserve">Complete</w:t>
            </w:r>
          </w:p>
        </w:tc>
        <w:tc>
          <w:tcPr/>
          <w:p>
            <w:pPr>
              <w:pStyle w:val="Compact"/>
            </w:pPr>
            <w:r>
              <w:t xml:space="preserve">Instructor capability development</w:t>
            </w:r>
          </w:p>
        </w:tc>
      </w:tr>
      <w:tr>
        <w:tc>
          <w:tcPr/>
          <w:p>
            <w:pPr>
              <w:pStyle w:val="Compact"/>
            </w:pPr>
            <w:r>
              <w:t xml:space="preserve">System 1: Flask app, auth, context injection, logging</w:t>
            </w:r>
          </w:p>
        </w:tc>
        <w:tc>
          <w:tcPr/>
          <w:p>
            <w:pPr>
              <w:pStyle w:val="Compact"/>
            </w:pPr>
            <w:r>
              <w:t xml:space="preserve">Built &amp; deployed</w:t>
            </w:r>
          </w:p>
        </w:tc>
        <w:tc>
          <w:tcPr/>
          <w:p>
            <w:pPr>
              <w:pStyle w:val="Compact"/>
            </w:pPr>
            <w:r>
              <w:t xml:space="preserve">Per-group AI access infrastructure</w:t>
            </w:r>
          </w:p>
        </w:tc>
      </w:tr>
      <w:tr>
        <w:tc>
          <w:tcPr/>
          <w:p>
            <w:pPr>
              <w:pStyle w:val="Compact"/>
            </w:pPr>
            <w:r>
              <w:t xml:space="preserve">System 2: Claude Code per-group setup documentation</w:t>
            </w:r>
          </w:p>
        </w:tc>
        <w:tc>
          <w:tcPr/>
          <w:p>
            <w:pPr>
              <w:pStyle w:val="Compact"/>
            </w:pPr>
            <w:r>
              <w:t xml:space="preserve">Complete</w:t>
            </w:r>
          </w:p>
        </w:tc>
        <w:tc>
          <w:tcPr/>
          <w:p>
            <w:pPr>
              <w:pStyle w:val="Compact"/>
            </w:pPr>
            <w:r>
              <w:t xml:space="preserve">AI tool integration scaffolding</w:t>
            </w:r>
          </w:p>
        </w:tc>
      </w:tr>
      <w:tr>
        <w:tc>
          <w:tcPr/>
          <w:p>
            <w:pPr>
              <w:pStyle w:val="Compact"/>
            </w:pPr>
            <w:r>
              <w:rPr>
                <w:rStyle w:val="VerbatimChar"/>
              </w:rPr>
              <w:t xml:space="preserve">CLAUDE.md</w:t>
            </w:r>
            <w:r>
              <w:t xml:space="preserve"> </w:t>
            </w:r>
            <w:r>
              <w:t xml:space="preserve">dual-purpose guardrail files</w:t>
            </w:r>
          </w:p>
        </w:tc>
        <w:tc>
          <w:tcPr/>
          <w:p>
            <w:pPr>
              <w:pStyle w:val="Compact"/>
            </w:pPr>
            <w:r>
              <w:t xml:space="preserve">Complete</w:t>
            </w:r>
          </w:p>
        </w:tc>
        <w:tc>
          <w:tcPr/>
          <w:p>
            <w:pPr>
              <w:pStyle w:val="Compact"/>
            </w:pPr>
            <w:r>
              <w:t xml:space="preserve">Pedagogical AI guardrails</w:t>
            </w:r>
          </w:p>
        </w:tc>
      </w:tr>
      <w:tr>
        <w:tc>
          <w:tcPr/>
          <w:p>
            <w:pPr>
              <w:pStyle w:val="Compact"/>
            </w:pPr>
            <w:r>
              <w:t xml:space="preserve">Growth gamification system (GitHub Actions + METRICS.md)</w:t>
            </w:r>
          </w:p>
        </w:tc>
        <w:tc>
          <w:tcPr/>
          <w:p>
            <w:pPr>
              <w:pStyle w:val="Compact"/>
            </w:pPr>
            <w:r>
              <w:t xml:space="preserve">Designed; in progress</w:t>
            </w:r>
          </w:p>
        </w:tc>
        <w:tc>
          <w:tcPr/>
          <w:p>
            <w:pPr>
              <w:pStyle w:val="Compact"/>
            </w:pPr>
            <w:r>
              <w:t xml:space="preserve">Learning-velocity measurement</w:t>
            </w:r>
          </w:p>
        </w:tc>
      </w:tr>
      <w:tr>
        <w:tc>
          <w:tcPr/>
          <w:p>
            <w:pPr>
              <w:pStyle w:val="Compact"/>
            </w:pPr>
            <w:r>
              <w:t xml:space="preserve">GREY Clearance instructional design onboarding brief</w:t>
            </w:r>
          </w:p>
        </w:tc>
        <w:tc>
          <w:tcPr/>
          <w:p>
            <w:pPr>
              <w:pStyle w:val="Compact"/>
            </w:pPr>
            <w:r>
              <w:t xml:space="preserve">Complete</w:t>
            </w:r>
          </w:p>
        </w:tc>
        <w:tc>
          <w:tcPr/>
          <w:p>
            <w:pPr>
              <w:pStyle w:val="Compact"/>
            </w:pPr>
            <w:r>
              <w:t xml:space="preserve">Cross-disciplinary integration</w:t>
            </w:r>
          </w:p>
        </w:tc>
      </w:tr>
      <w:tr>
        <w:tc>
          <w:tcPr/>
          <w:p>
            <w:pPr>
              <w:pStyle w:val="Compact"/>
            </w:pPr>
            <w:r>
              <w:t xml:space="preserve">Wireframing instructional deck (HTML/JS)</w:t>
            </w:r>
          </w:p>
        </w:tc>
        <w:tc>
          <w:tcPr/>
          <w:p>
            <w:pPr>
              <w:pStyle w:val="Compact"/>
            </w:pPr>
            <w:r>
              <w:t xml:space="preserve">Complete</w:t>
            </w:r>
          </w:p>
        </w:tc>
        <w:tc>
          <w:tcPr/>
          <w:p>
            <w:pPr>
              <w:pStyle w:val="Compact"/>
            </w:pPr>
            <w:r>
              <w:t xml:space="preserve">Gap-filling instructional content</w:t>
            </w:r>
          </w:p>
        </w:tc>
      </w:tr>
      <w:tr>
        <w:tc>
          <w:tcPr/>
          <w:p>
            <w:pPr>
              <w:pStyle w:val="Compact"/>
            </w:pPr>
            <w:r>
              <w:t xml:space="preserve">Group 4 late-start catch-up package</w:t>
            </w:r>
          </w:p>
        </w:tc>
        <w:tc>
          <w:tcPr/>
          <w:p>
            <w:pPr>
              <w:pStyle w:val="Compact"/>
            </w:pPr>
            <w:r>
              <w:t xml:space="preserve">Complete</w:t>
            </w:r>
          </w:p>
        </w:tc>
        <w:tc>
          <w:tcPr/>
          <w:p>
            <w:pPr>
              <w:pStyle w:val="Compact"/>
            </w:pPr>
            <w:r>
              <w:t xml:space="preserve">Differentiated access / resilient infrastructure</w:t>
            </w:r>
          </w:p>
        </w:tc>
      </w:tr>
      <w:tr>
        <w:tc>
          <w:tcPr/>
          <w:p>
            <w:pPr>
              <w:pStyle w:val="Compact"/>
            </w:pPr>
            <w:r>
              <w:t xml:space="preserve">AlgoCratic GitHub Pages site</w:t>
            </w:r>
          </w:p>
        </w:tc>
        <w:tc>
          <w:tcPr/>
          <w:p>
            <w:pPr>
              <w:pStyle w:val="Compact"/>
            </w:pPr>
            <w:r>
              <w:t xml:space="preserve">In progress</w:t>
            </w:r>
          </w:p>
        </w:tc>
        <w:tc>
          <w:tcPr/>
          <w:p>
            <w:pPr>
              <w:pStyle w:val="Compact"/>
            </w:pPr>
            <w:r>
              <w:t xml:space="preserve">Public-facing program identity</w:t>
            </w:r>
          </w:p>
        </w:tc>
      </w:tr>
    </w:tbl>
    <w:p>
      <w:r>
        <w:pict>
          <v:rect style="width:0;height:1.5pt" o:hralign="center" o:hrstd="t" o:hr="t"/>
        </w:pict>
      </w:r>
    </w:p>
    <w:bookmarkEnd w:id="22"/>
    <w:bookmarkStart w:id="23"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23"/>
    <w:bookmarkStart w:id="27" w:name="Xde5c3fa3cb9b6478d6f6432ee84ac53ad5f9c9b"/>
    <w:p>
      <w:pPr>
        <w:pStyle w:val="Heading2"/>
      </w:pPr>
      <w:r>
        <w:t xml:space="preserve">Institutional Value: A Platform, Not a Semester</w:t>
      </w:r>
    </w:p>
    <w:bookmarkStart w:id="24"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24"/>
    <w:bookmarkStart w:id="25" w:name="future-ready-alignment"/>
    <w:p>
      <w:pPr>
        <w:pStyle w:val="Heading3"/>
      </w:pPr>
      <w:r>
        <w:t xml:space="preserve">Future-Ready Alignment</w:t>
      </w:r>
    </w:p>
    <w:p>
      <w:pPr>
        <w:pStyle w:val="FirstParagraph"/>
      </w:pPr>
      <w:r>
        <w:t xml:space="preserve">The expectations this review is measured against were written for a course delivery role. What was built exceeds that role not by doing more of the same thing, but by building at a different level — the level at which the conditions for effective course delivery are created. The market graduates are entering will require fluency with AI-assisted development, Scrum workflows, cross-functional collaboration, and the capacity to operate inside imperfect systems without losing technical focus. AlgoCratic Futures was built to that specification, not the specification that existed when the job description was written.</w:t>
      </w:r>
    </w:p>
    <w:bookmarkEnd w:id="25"/>
    <w:bookmarkStart w:id="26"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26"/>
    <w:bookmarkEnd w:id="27"/>
    <w:bookmarkStart w:id="28" w:name="X527be9758c4eab47ca665bee708a3fd846715a4"/>
    <w:p>
      <w:pPr>
        <w:pStyle w:val="Heading2"/>
      </w:pPr>
      <w:r>
        <w:t xml:space="preserve">Conclusion: Objective Redefined and Exceeded</w:t>
      </w:r>
    </w:p>
    <w:p>
      <w:pPr>
        <w:pStyle w:val="FirstParagraph"/>
      </w:pPr>
      <w:r>
        <w:rPr>
          <w:b/>
          <w:bCs/>
        </w:rPr>
        <w:t xml:space="preserve">Minimum requirement:</w:t>
      </w:r>
      <w:r>
        <w:t xml:space="preserve"> </w:t>
      </w:r>
      <w:r>
        <w:t xml:space="preserve">Deliver assigned courses.</w:t>
      </w:r>
    </w:p>
    <w:p>
      <w:pPr>
        <w:pStyle w:val="BodyText"/>
      </w:pPr>
      <w:r>
        <w:rPr>
          <w:b/>
          <w:bCs/>
        </w:rPr>
        <w:t xml:space="preserve">Actual delivery:</w:t>
      </w:r>
    </w:p>
    <w:p>
      <w:pPr>
        <w:pStyle w:val="Compact"/>
        <w:numPr>
          <w:ilvl w:val="0"/>
          <w:numId w:val="1001"/>
        </w:numPr>
      </w:pPr>
      <w:r>
        <w:t xml:space="preserve">An original, theoretically grounded, six-level immersive pedagogical environment built from scratch.</w:t>
      </w:r>
    </w:p>
    <w:p>
      <w:pPr>
        <w:pStyle w:val="Compact"/>
        <w:numPr>
          <w:ilvl w:val="0"/>
          <w:numId w:val="1001"/>
        </w:numPr>
      </w:pPr>
      <w:r>
        <w:t xml:space="preserve">Assessment architecture that measures learning velocity rather than position, operationalizing growth-mindset research in rubric form.</w:t>
      </w:r>
    </w:p>
    <w:p>
      <w:pPr>
        <w:pStyle w:val="Compact"/>
        <w:numPr>
          <w:ilvl w:val="0"/>
          <w:numId w:val="1001"/>
        </w:numPr>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pStyle w:val="Compact"/>
        <w:numPr>
          <w:ilvl w:val="0"/>
          <w:numId w:val="1001"/>
        </w:numPr>
      </w:pPr>
      <w:r>
        <w:t xml:space="preserve">Cross-disciplinary collaboration framework built on the GREY clearance model (Objective 1).</w:t>
      </w:r>
    </w:p>
    <w:p>
      <w:pPr>
        <w:pStyle w:val="Compact"/>
        <w:numPr>
          <w:ilvl w:val="0"/>
          <w:numId w:val="1001"/>
        </w:numPr>
      </w:pPr>
      <w:r>
        <w:t xml:space="preserve">Fully documented, replicable platform positioned for multi-semester deployment and institutional adoption.</w:t>
      </w:r>
    </w:p>
    <w:p>
      <w:pPr>
        <w:pStyle w:val="Compact"/>
        <w:numPr>
          <w:ilvl w:val="0"/>
          <w:numId w:val="1001"/>
        </w:numPr>
      </w:pPr>
      <w:r>
        <w:t xml:space="preserve">Graduate Showcase output demonstrating professional-quality, publicly presented student work.</w:t>
      </w:r>
    </w:p>
    <w:p>
      <w:pPr>
        <w:pStyle w:val="BlockText"/>
      </w:pPr>
      <w:r>
        <w:rPr>
          <w:b/>
          <w:bCs/>
        </w:rPr>
        <w:t xml:space="preserve">Assessment:</w:t>
      </w:r>
      <w:r>
        <w:t xml:space="preserve"> </w:t>
      </w:r>
      <w:r>
        <w:t xml:space="preserve">Objective not merely met or exceeded, but operating at a level the original specification did not anticipate. The deliverable specified was effective course delivery. The deliverable built was the infrastructure that makes effective course delivery possible — and replicable, and improvable, and future-ready.</w:t>
      </w:r>
    </w:p>
    <w:p>
      <w:pPr>
        <w:pStyle w:val="FirstParagraph"/>
      </w:pPr>
      <w:r>
        <w:t xml:space="preserve">The standard capstone is Sauce &amp; Spoon. You are given a scenario. You practice the skills. You produce the portfolio.</w:t>
      </w:r>
      <w:r>
        <w:t xml:space="preserve"> </w:t>
      </w:r>
      <w:r>
        <w:rPr>
          <w:b/>
          <w:bCs/>
        </w:rPr>
        <w:t xml:space="preserve">This is not that.</w:t>
      </w:r>
      <w:r>
        <w:t xml:space="preserve"> </w:t>
      </w:r>
      <w:r>
        <w:t xml:space="preserve">This is the work of designing the scenario — and then delivering it, iterating on it, instrumenting it for measurement, and making it replicable. That is a different job. It requires a different skill set. It produces a different institutional artifact.</w:t>
      </w:r>
    </w:p>
    <w:p>
      <w:pPr>
        <w:pStyle w:val="BodyText"/>
      </w:pPr>
      <w:r>
        <w:rPr>
          <w:i/>
          <w:iCs/>
        </w:rPr>
        <w:t xml:space="preserve">Full theoretical grounding and source bibliography: see appendix —</w:t>
      </w:r>
      <w:r>
        <w:rPr>
          <w:i/>
          <w:iCs/>
        </w:rPr>
        <w:t xml:space="preserve"> </w:t>
      </w:r>
      <w:r>
        <w:rPr>
          <w:i/>
          <w:iCs/>
        </w:rPr>
        <w:t xml:space="preserve">“Evidence Base for Multi-Level Immersive Instructional Design in Technical Education at the Community College Level.”</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2026-05-16T14:55:54Z</dcterms:created>
  <dcterms:modified xsi:type="dcterms:W3CDTF">2026-05-16T14:55:54Z</dcterms:modified>
</cp:coreProperties>
</file>

<file path=docProps/custom.xml><?xml version="1.0" encoding="utf-8"?>
<Properties xmlns="http://schemas.openxmlformats.org/officeDocument/2006/custom-properties" xmlns:vt="http://schemas.openxmlformats.org/officeDocument/2006/docPropsVTypes"/>
</file>