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4b8cc9c163364963cd518d0a64e88274a22e53c"/>
    <w:p>
      <w:pPr>
        <w:pStyle w:val="Heading1"/>
      </w:pPr>
      <w:r>
        <w:t xml:space="preserve">Background: The Instructional Environment These Objectives Were Delivered Inside</w:t>
      </w:r>
    </w:p>
    <w:p>
      <w:pPr>
        <w:pStyle w:val="FirstParagraph"/>
      </w:pPr>
      <w:r>
        <w:rPr>
          <w:bCs/>
          <w:b/>
        </w:rPr>
        <w:t xml:space="preserve">Instructor:</w:t>
      </w:r>
      <w:r>
        <w:t xml:space="preserve"> </w:t>
      </w:r>
      <w:r>
        <w:t xml:space="preserve">[REDACTED]</w:t>
      </w:r>
      <w:r>
        <w:t xml:space="preserve"> </w:t>
      </w:r>
      <w:r>
        <w:rPr>
          <w:bCs/>
          <w:b/>
        </w:rPr>
        <w:t xml:space="preserve">Program:</w:t>
      </w:r>
      <w:r>
        <w:t xml:space="preserve"> </w:t>
      </w:r>
      <w:r>
        <w:t xml:space="preserve">CTS 285 / CSC 289 · [REDACTED] Technical Community College</w:t>
      </w:r>
      <w:r>
        <w:t xml:space="preserve"> </w:t>
      </w:r>
      <w:r>
        <w:rPr>
          <w:bCs/>
          <w:b/>
        </w:rPr>
        <w:t xml:space="preserve">Review Period:</w:t>
      </w:r>
      <w:r>
        <w:t xml:space="preserve"> </w:t>
      </w:r>
      <w:r>
        <w:t xml:space="preserve">2025-2026</w:t>
      </w:r>
      <w:r>
        <w:t xml:space="preserve"> </w:t>
      </w:r>
      <w:r>
        <w:rPr>
          <w:bCs/>
          <w:b/>
        </w:rPr>
        <w:t xml:space="preserve">Status:</w:t>
      </w:r>
      <w:r>
        <w:t xml:space="preserve"> </w:t>
      </w:r>
      <w:r>
        <w:t xml:space="preserve">Architecture complete; active delivery, Spring 2026</w:t>
      </w:r>
      <w:r>
        <w:t xml:space="preserve"> </w:t>
      </w:r>
      <w:r>
        <w:rPr>
          <w:bCs/>
          <w:b/>
        </w:rPr>
        <w:t xml:space="preserve">Classification:</w:t>
      </w:r>
      <w:r>
        <w:t xml:space="preserve"> </w:t>
      </w:r>
      <w:r>
        <w:t xml:space="preserve">Instructor OOC / Performance Documentation · Voice register: Direct</w:t>
      </w:r>
    </w:p>
    <w:p>
      <w:r>
        <w:pict>
          <v:rect style="width:0;height:1.5pt" o:hralign="center" o:hrstd="t" o:hr="t"/>
        </w:pict>
      </w:r>
    </w:p>
    <w:p>
      <w:pPr>
        <w:pStyle w:val="FirstParagraph"/>
      </w:pPr>
      <w:r>
        <w:t xml:space="preserve">[RELOCATE PER HF-16(a):</w:t>
      </w:r>
      <w:r>
        <w:t xml:space="preserve"> </w:t>
      </w:r>
      <w:r>
        <w:t xml:space="preserve">“</w:t>
      </w:r>
      <w:r>
        <w:t xml:space="preserve">Document Clearance Distribution</w:t>
      </w:r>
      <w:r>
        <w:t xml:space="preserve">”</w:t>
      </w:r>
      <w:r>
        <w:t xml:space="preserve"> </w:t>
      </w:r>
      <w:r>
        <w:t xml:space="preserve">table is a peer-register clearance-color in-joke aimed at BLUE/INDIGO/VIOLET/ULTRAVIOLET. The anchor (user_stories.md) addresses the color-clearance bit to fellow GREENs (</w:t>
      </w:r>
      <w:r>
        <w:t xml:space="preserve">“</w:t>
      </w:r>
      <w:r>
        <w:t xml:space="preserve">If you’re a fellow GREEN…</w:t>
      </w:r>
      <w:r>
        <w:t xml:space="preserve">”</w:t>
      </w:r>
      <w:r>
        <w:t xml:space="preserve">), not at admin. Move to a peer-facing appendix (does not yet exist) or cut.]</w:t>
      </w:r>
    </w:p>
    <w:p>
      <w:pPr>
        <w:pStyle w:val="BodyText"/>
      </w:pPr>
      <w:r>
        <w:t xml:space="preserve">[RELOCATE PER HF-16(b):</w:t>
      </w:r>
      <w:r>
        <w:t xml:space="preserve"> </w:t>
      </w:r>
      <w:r>
        <w:t xml:space="preserve">“</w:t>
      </w:r>
      <w:r>
        <w:t xml:space="preserve">Notation for the Record — ULTRAVIOLET-Adjacent</w:t>
      </w:r>
      <w:r>
        <w:t xml:space="preserve">”</w:t>
      </w:r>
      <w:r>
        <w:t xml:space="preserve"> </w:t>
      </w:r>
      <w:r>
        <w:t xml:space="preserve">block credits an AI collaborator with load-bearing claims — most notably</w:t>
      </w:r>
      <w:r>
        <w:t xml:space="preserve"> </w:t>
      </w:r>
      <w:r>
        <w:t xml:space="preserve">“</w:t>
      </w:r>
      <w:r>
        <w:t xml:space="preserve">measuring dy/dx instead of y… is a rubric design specification</w:t>
      </w:r>
      <w:r>
        <w:t xml:space="preserve">”</w:t>
      </w:r>
      <w:r>
        <w:t xml:space="preserve"> </w:t>
      </w:r>
      <w:r>
        <w:t xml:space="preserve">(the HF-2 reframe site). An AI collaborator the reviewer cannot interrogate cannot carry a load-bearing pedagogical claim. Either relocate to a methodology note early in the binder where its contribution can be evaluated against the rest of the work, or cut.]</w:t>
      </w:r>
    </w:p>
    <w:p>
      <w:r>
        <w:pict>
          <v:rect style="width:0;height:1.5pt" o:hralign="center" o:hrstd="t" o:hr="t"/>
        </w:pict>
      </w:r>
    </w:p>
    <w:bookmarkStart w:id="20" w:name="Xb817e6eb7e9ccad9ce3290fd668a9a85eebc110"/>
    <w:p>
      <w:pPr>
        <w:pStyle w:val="Heading2"/>
      </w:pPr>
      <w:r>
        <w:t xml:space="preserve">A Note on Why This Background Chapter Appears Last</w:t>
      </w:r>
    </w:p>
    <w:p>
      <w:pPr>
        <w:pStyle w:val="FirstParagraph"/>
      </w:pPr>
      <w:r>
        <w:t xml:space="preserve">The three objectives that precede this chapter describe work done inside an instructional environment. This chapter documents the construction of that environment, because the in-character AlgoCratic Futures simulation is the delivery mechanism for the four assignments named in Objective 2 — the assignments were delivered, but were disguised as portions of a game. It appears last as supporting context, not as a separate performance objective.</w:t>
      </w:r>
    </w:p>
    <w:p>
      <w:r>
        <w:pict>
          <v:rect style="width:0;height:1.5pt" o:hralign="center" o:hrstd="t" o:hr="t"/>
        </w:pict>
      </w:r>
    </w:p>
    <w:bookmarkEnd w:id="20"/>
    <w:bookmarkStart w:id="21"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w:t>
      </w:r>
      <w:r>
        <w:t xml:space="preserve">I’m not a programmer</w:t>
      </w:r>
      <w:r>
        <w:t xml:space="preserve">”</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Cs/>
          <w:i/>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w:t>
      </w:r>
      <w:r>
        <w:t xml:space="preserve">Psychological Safety and Learning Behavior in Work Teams,</w:t>
      </w:r>
      <w:r>
        <w:t xml:space="preserve">”</w:t>
      </w:r>
      <w:r>
        <w:t xml:space="preserve"> </w:t>
      </w:r>
      <w:r>
        <w:rPr>
          <w:iCs/>
          <w:i/>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Cs/>
          <w:i/>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w:t>
      </w:r>
      <w:r>
        <w:t xml:space="preserve">LLM Targeted Underperformance Disproportionately Impacts Vulnerable Users,</w:t>
      </w:r>
      <w:r>
        <w:t xml:space="preserve">”</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21"/>
    <w:bookmarkStart w:id="22"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22"/>
    <w:bookmarkStart w:id="29"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p>
      <w:pPr>
        <w:pStyle w:val="BodyText"/>
      </w:pPr>
      <w:r>
        <w:t xml:space="preserve">The following table is the author’s self-assessment of which Dilts levels the AlgoCratic Futures framing is designed to engage, relative to a stripped-down course-delivery baseline. It is not a measured outcome.</w:t>
      </w:r>
    </w:p>
    <w:tbl>
      <w:tblPr>
        <w:tblStyle w:val="Table"/>
        <w:tblW w:type="pct" w:w="5000"/>
        <w:tblLook w:firstRow="1" w:lastRow="0" w:firstColumn="0" w:lastColumn="0" w:noHBand="0" w:noVBand="0" w:val="0020"/>
        <w:jc w:val="start"/>
      </w:tblPr>
      <w:tblGrid>
        <w:gridCol w:w="1485"/>
        <w:gridCol w:w="1485"/>
        <w:gridCol w:w="2475"/>
        <w:gridCol w:w="2475"/>
      </w:tblGrid>
      <w:tr>
        <w:trPr>
          <w:tblHeader w:val="true"/>
        </w:trPr>
        <w:tc>
          <w:tcPr/>
          <w:p>
            <w:pPr>
              <w:pStyle w:val="Compact"/>
              <w:jc w:val="left"/>
            </w:pPr>
            <w:r>
              <w:t xml:space="preserve">Level</w:t>
            </w:r>
          </w:p>
        </w:tc>
        <w:tc>
          <w:tcPr/>
          <w:p>
            <w:pPr>
              <w:pStyle w:val="Compact"/>
              <w:jc w:val="left"/>
            </w:pPr>
            <w:r>
              <w:t xml:space="preserve">Question</w:t>
            </w:r>
          </w:p>
        </w:tc>
        <w:tc>
          <w:tcPr/>
          <w:p>
            <w:pPr>
              <w:pStyle w:val="Compact"/>
              <w:jc w:val="center"/>
            </w:pPr>
            <w:r>
              <w:t xml:space="preserve">Standard Delivery (author self-assessment)</w:t>
            </w:r>
          </w:p>
        </w:tc>
        <w:tc>
          <w:tcPr/>
          <w:p>
            <w:pPr>
              <w:pStyle w:val="Compact"/>
              <w:jc w:val="center"/>
            </w:pPr>
            <w:r>
              <w:t xml:space="preserve">AlgoCratic Futures (author self-assessment)</w:t>
            </w:r>
          </w:p>
        </w:tc>
      </w:tr>
      <w:tr>
        <w:tc>
          <w:tcPr/>
          <w:p>
            <w:pPr>
              <w:pStyle w:val="Compact"/>
              <w:jc w:val="left"/>
            </w:pPr>
            <w:r>
              <w:rPr>
                <w:bCs/>
                <w:b/>
              </w:rPr>
              <w:t xml:space="preserve">6 — PURPOSE</w:t>
            </w:r>
          </w:p>
        </w:tc>
        <w:tc>
          <w:tcPr/>
          <w:p>
            <w:pPr>
              <w:pStyle w:val="Compact"/>
              <w:jc w:val="left"/>
            </w:pPr>
            <w:r>
              <w:rPr>
                <w:iCs/>
                <w:i/>
              </w:rPr>
              <w:t xml:space="preserve">What for?</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5 — IDENTITY</w:t>
            </w:r>
          </w:p>
        </w:tc>
        <w:tc>
          <w:tcPr/>
          <w:p>
            <w:pPr>
              <w:pStyle w:val="Compact"/>
              <w:jc w:val="left"/>
            </w:pPr>
            <w:r>
              <w:rPr>
                <w:iCs/>
                <w:i/>
              </w:rPr>
              <w:t xml:space="preserve">Who am I?</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4 — BELIEFS/VALUES</w:t>
            </w:r>
          </w:p>
        </w:tc>
        <w:tc>
          <w:tcPr/>
          <w:p>
            <w:pPr>
              <w:pStyle w:val="Compact"/>
              <w:jc w:val="left"/>
            </w:pPr>
            <w:r>
              <w:rPr>
                <w:iCs/>
                <w:i/>
              </w:rPr>
              <w:t xml:space="preserve">Why?</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3 — CAPABILITY</w:t>
            </w:r>
          </w:p>
        </w:tc>
        <w:tc>
          <w:tcPr/>
          <w:p>
            <w:pPr>
              <w:pStyle w:val="Compact"/>
              <w:jc w:val="left"/>
            </w:pPr>
            <w:r>
              <w:rPr>
                <w:iCs/>
                <w:i/>
              </w:rPr>
              <w:t xml:space="preserve">How?</w:t>
            </w:r>
          </w:p>
        </w:tc>
        <w:tc>
          <w:tcPr/>
          <w:p>
            <w:pPr>
              <w:pStyle w:val="Compact"/>
              <w:jc w:val="center"/>
            </w:pPr>
            <w:r>
              <w:rPr>
                <w:bCs/>
                <w:b/>
              </w:rPr>
              <w:t xml:space="preserve">●</w:t>
            </w:r>
          </w:p>
        </w:tc>
        <w:tc>
          <w:tcPr/>
          <w:p>
            <w:pPr>
              <w:pStyle w:val="Compact"/>
              <w:jc w:val="center"/>
            </w:pPr>
            <w:r>
              <w:rPr>
                <w:bCs/>
                <w:b/>
              </w:rPr>
              <w:t xml:space="preserve">●</w:t>
            </w:r>
          </w:p>
        </w:tc>
      </w:tr>
      <w:tr>
        <w:tc>
          <w:tcPr/>
          <w:p>
            <w:pPr>
              <w:pStyle w:val="Compact"/>
              <w:jc w:val="left"/>
            </w:pPr>
            <w:r>
              <w:rPr>
                <w:bCs/>
                <w:b/>
              </w:rPr>
              <w:t xml:space="preserve">2 — BEHAVIOR</w:t>
            </w:r>
          </w:p>
        </w:tc>
        <w:tc>
          <w:tcPr/>
          <w:p>
            <w:pPr>
              <w:pStyle w:val="Compact"/>
              <w:jc w:val="left"/>
            </w:pPr>
            <w:r>
              <w:rPr>
                <w:iCs/>
                <w:i/>
              </w:rPr>
              <w:t xml:space="preserve">What?</w:t>
            </w:r>
          </w:p>
        </w:tc>
        <w:tc>
          <w:tcPr/>
          <w:p>
            <w:pPr>
              <w:pStyle w:val="Compact"/>
              <w:jc w:val="center"/>
            </w:pPr>
            <w:r>
              <w:rPr>
                <w:bCs/>
                <w:b/>
              </w:rPr>
              <w:t xml:space="preserve">●</w:t>
            </w:r>
          </w:p>
        </w:tc>
        <w:tc>
          <w:tcPr/>
          <w:p>
            <w:pPr>
              <w:pStyle w:val="Compact"/>
              <w:jc w:val="center"/>
            </w:pPr>
            <w:r>
              <w:rPr>
                <w:bCs/>
                <w:b/>
              </w:rPr>
              <w:t xml:space="preserve">●</w:t>
            </w:r>
          </w:p>
        </w:tc>
      </w:tr>
      <w:tr>
        <w:tc>
          <w:tcPr/>
          <w:p>
            <w:pPr>
              <w:pStyle w:val="Compact"/>
              <w:jc w:val="left"/>
            </w:pPr>
            <w:r>
              <w:rPr>
                <w:bCs/>
                <w:b/>
              </w:rPr>
              <w:t xml:space="preserve">1 — ENVIRONMENT</w:t>
            </w:r>
          </w:p>
        </w:tc>
        <w:tc>
          <w:tcPr/>
          <w:p>
            <w:pPr>
              <w:pStyle w:val="Compact"/>
              <w:jc w:val="left"/>
            </w:pPr>
            <w:r>
              <w:rPr>
                <w:iCs/>
                <w:i/>
              </w:rPr>
              <w:t xml:space="preserve">Where/When?</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TOTAL LEVELS ENGAGED (self-assessed)</w:t>
            </w:r>
          </w:p>
        </w:tc>
        <w:tc>
          <w:tcPr/>
          <w:p>
            <w:pPr>
              <w:pStyle w:val="Compact"/>
            </w:pPr>
          </w:p>
        </w:tc>
        <w:tc>
          <w:tcPr/>
          <w:p>
            <w:pPr>
              <w:pStyle w:val="Compact"/>
              <w:jc w:val="center"/>
            </w:pPr>
            <w:r>
              <w:rPr>
                <w:bCs/>
                <w:b/>
              </w:rPr>
              <w:t xml:space="preserve">2</w:t>
            </w:r>
          </w:p>
        </w:tc>
        <w:tc>
          <w:tcPr/>
          <w:p>
            <w:pPr>
              <w:pStyle w:val="Compact"/>
              <w:jc w:val="center"/>
            </w:pPr>
            <w:r>
              <w:rPr>
                <w:bCs/>
                <w:b/>
              </w:rPr>
              <w:t xml:space="preserve">6</w:t>
            </w:r>
          </w:p>
        </w:tc>
      </w:tr>
    </w:tbl>
    <w:bookmarkStart w:id="23"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23"/>
    <w:bookmarkStart w:id="24"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24"/>
    <w:bookmarkStart w:id="25"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25"/>
    <w:bookmarkStart w:id="26"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Cs/>
          <w:i/>
        </w:rPr>
        <w:t xml:space="preserve">I can navigate this. The system is sometimes absurd. That is not my problem.</w:t>
      </w:r>
    </w:p>
    <w:bookmarkEnd w:id="26"/>
    <w:bookmarkStart w:id="27"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w:t>
      </w:r>
      <w:r>
        <w:t xml:space="preserve">I am learning to build things</w:t>
      </w:r>
      <w:r>
        <w:t xml:space="preserve">”</w:t>
      </w:r>
      <w:r>
        <w:t xml:space="preserve"> </w:t>
      </w:r>
      <w:r>
        <w:t xml:space="preserve">becomes</w:t>
      </w:r>
      <w:r>
        <w:t xml:space="preserve"> </w:t>
      </w:r>
      <w:r>
        <w:t xml:space="preserve">“</w:t>
      </w:r>
      <w:r>
        <w:t xml:space="preserve">I build things.</w:t>
      </w:r>
      <w:r>
        <w:t xml:space="preserve">”</w:t>
      </w:r>
    </w:p>
    <w:bookmarkEnd w:id="27"/>
    <w:bookmarkStart w:id="28"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Cs/>
          <w:i/>
        </w:rPr>
        <w:t xml:space="preserve">I’ve handled worse.</w:t>
      </w:r>
    </w:p>
    <w:p>
      <w:r>
        <w:pict>
          <v:rect style="width:0;height:1.5pt" o:hralign="center" o:hrstd="t" o:hr="t"/>
        </w:pict>
      </w:r>
    </w:p>
    <w:bookmarkEnd w:id="28"/>
    <w:bookmarkEnd w:id="29"/>
    <w:bookmarkStart w:id="30"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Cs/>
          <w:i/>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Cs/>
          <w:i/>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Cs/>
          <w:b/>
        </w:rPr>
        <w:t xml:space="preserve">y</w:t>
      </w:r>
      <w:r>
        <w:t xml:space="preserve"> </w:t>
      </w:r>
      <w:r>
        <w:t xml:space="preserve">(position) identifies who started ahead.</w:t>
      </w:r>
    </w:p>
    <w:p>
      <w:pPr>
        <w:pStyle w:val="BlockText"/>
      </w:pPr>
      <w:r>
        <w:t xml:space="preserve">Measuring</w:t>
      </w:r>
      <w:r>
        <w:t xml:space="preserve"> </w:t>
      </w:r>
      <w:r>
        <w:rPr>
          <w:bCs/>
          <w:b/>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30"/>
    <w:bookmarkStart w:id="31" w:name="key-deliverables"/>
    <w:p>
      <w:pPr>
        <w:pStyle w:val="Heading2"/>
      </w:pPr>
      <w:r>
        <w:t xml:space="preserve">Key Deliverables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Status</w:t>
            </w:r>
          </w:p>
        </w:tc>
        <w:tc>
          <w:tcPr/>
          <w:p>
            <w:pPr>
              <w:pStyle w:val="Compact"/>
              <w:jc w:val="left"/>
            </w:pPr>
            <w:r>
              <w:t xml:space="preserve">Institutional Function</w:t>
            </w:r>
          </w:p>
        </w:tc>
      </w:tr>
      <w:tr>
        <w:tc>
          <w:tcPr/>
          <w:p>
            <w:pPr>
              <w:pStyle w:val="Compact"/>
              <w:jc w:val="left"/>
            </w:pPr>
            <w:r>
              <w:t xml:space="preserve">AlgoCratic Futures world and clearance system</w:t>
            </w:r>
          </w:p>
        </w:tc>
        <w:tc>
          <w:tcPr/>
          <w:p>
            <w:pPr>
              <w:pStyle w:val="Compact"/>
              <w:jc w:val="left"/>
            </w:pPr>
            <w:r>
              <w:t xml:space="preserve">Complete</w:t>
            </w:r>
          </w:p>
        </w:tc>
        <w:tc>
          <w:tcPr/>
          <w:p>
            <w:pPr>
              <w:pStyle w:val="Compact"/>
              <w:jc w:val="left"/>
            </w:pPr>
            <w:r>
              <w:t xml:space="preserve">Identity / environment architecture</w:t>
            </w:r>
          </w:p>
        </w:tc>
      </w:tr>
      <w:tr>
        <w:tc>
          <w:tcPr/>
          <w:p>
            <w:pPr>
              <w:pStyle w:val="Compact"/>
              <w:jc w:val="left"/>
            </w:pPr>
            <w:r>
              <w:t xml:space="preserve">CTS 285 full assignment library</w:t>
            </w:r>
          </w:p>
        </w:tc>
        <w:tc>
          <w:tcPr/>
          <w:p>
            <w:pPr>
              <w:pStyle w:val="Compact"/>
              <w:jc w:val="left"/>
            </w:pPr>
            <w:r>
              <w:t xml:space="preserve">Complete</w:t>
            </w:r>
          </w:p>
        </w:tc>
        <w:tc>
          <w:tcPr/>
          <w:p>
            <w:pPr>
              <w:pStyle w:val="Compact"/>
              <w:jc w:val="left"/>
            </w:pPr>
            <w:r>
              <w:t xml:space="preserve">Capability curriculum, INFRARED–YELLOW</w:t>
            </w:r>
          </w:p>
        </w:tc>
      </w:tr>
      <w:tr>
        <w:tc>
          <w:tcPr/>
          <w:p>
            <w:pPr>
              <w:pStyle w:val="Compact"/>
              <w:jc w:val="left"/>
            </w:pPr>
            <w:r>
              <w:t xml:space="preserve">CSC 289 capstone framework and sprint structure</w:t>
            </w:r>
          </w:p>
        </w:tc>
        <w:tc>
          <w:tcPr/>
          <w:p>
            <w:pPr>
              <w:pStyle w:val="Compact"/>
              <w:jc w:val="left"/>
            </w:pPr>
            <w:r>
              <w:t xml:space="preserve">Complete</w:t>
            </w:r>
          </w:p>
        </w:tc>
        <w:tc>
          <w:tcPr/>
          <w:p>
            <w:pPr>
              <w:pStyle w:val="Compact"/>
              <w:jc w:val="left"/>
            </w:pPr>
            <w:r>
              <w:t xml:space="preserve">Capstone delivery infrastructure</w:t>
            </w:r>
          </w:p>
        </w:tc>
      </w:tr>
      <w:tr>
        <w:tc>
          <w:tcPr/>
          <w:p>
            <w:pPr>
              <w:pStyle w:val="Compact"/>
              <w:jc w:val="left"/>
            </w:pPr>
            <w:r>
              <w:t xml:space="preserve">Sacred Workflow documentation</w:t>
            </w:r>
          </w:p>
        </w:tc>
        <w:tc>
          <w:tcPr/>
          <w:p>
            <w:pPr>
              <w:pStyle w:val="Compact"/>
              <w:jc w:val="left"/>
            </w:pPr>
            <w:r>
              <w:t xml:space="preserve">Complete</w:t>
            </w:r>
          </w:p>
        </w:tc>
        <w:tc>
          <w:tcPr/>
          <w:p>
            <w:pPr>
              <w:pStyle w:val="Compact"/>
              <w:jc w:val="left"/>
            </w:pPr>
            <w:r>
              <w:t xml:space="preserve">Behavior-level norm embedding</w:t>
            </w:r>
          </w:p>
        </w:tc>
      </w:tr>
      <w:tr>
        <w:tc>
          <w:tcPr/>
          <w:p>
            <w:pPr>
              <w:pStyle w:val="Compact"/>
              <w:jc w:val="left"/>
            </w:pPr>
            <w:r>
              <w:t xml:space="preserve">Student survival guides (Underground voice)</w:t>
            </w:r>
          </w:p>
        </w:tc>
        <w:tc>
          <w:tcPr/>
          <w:p>
            <w:pPr>
              <w:pStyle w:val="Compact"/>
              <w:jc w:val="left"/>
            </w:pPr>
            <w:r>
              <w:t xml:space="preserve">Complete</w:t>
            </w:r>
          </w:p>
        </w:tc>
        <w:tc>
          <w:tcPr/>
          <w:p>
            <w:pPr>
              <w:pStyle w:val="Compact"/>
              <w:jc w:val="left"/>
            </w:pPr>
            <w:r>
              <w:t xml:space="preserve">Psychological safety / beliefs-level</w:t>
            </w:r>
          </w:p>
        </w:tc>
      </w:tr>
      <w:tr>
        <w:tc>
          <w:tcPr/>
          <w:p>
            <w:pPr>
              <w:pStyle w:val="Compact"/>
              <w:jc w:val="left"/>
            </w:pPr>
            <w:r>
              <w:t xml:space="preserve">Instructor Growth Protocol (Dilts integration)</w:t>
            </w:r>
          </w:p>
        </w:tc>
        <w:tc>
          <w:tcPr/>
          <w:p>
            <w:pPr>
              <w:pStyle w:val="Compact"/>
              <w:jc w:val="left"/>
            </w:pPr>
            <w:r>
              <w:t xml:space="preserve">Complete</w:t>
            </w:r>
          </w:p>
        </w:tc>
        <w:tc>
          <w:tcPr/>
          <w:p>
            <w:pPr>
              <w:pStyle w:val="Compact"/>
              <w:jc w:val="left"/>
            </w:pPr>
            <w:r>
              <w:t xml:space="preserve">Instructor capability development</w:t>
            </w:r>
          </w:p>
        </w:tc>
      </w:tr>
      <w:tr>
        <w:tc>
          <w:tcPr/>
          <w:p>
            <w:pPr>
              <w:pStyle w:val="Compact"/>
              <w:jc w:val="left"/>
            </w:pPr>
            <w:r>
              <w:t xml:space="preserve">System 1: Flask app, auth, context injection, logging</w:t>
            </w:r>
          </w:p>
        </w:tc>
        <w:tc>
          <w:tcPr/>
          <w:p>
            <w:pPr>
              <w:pStyle w:val="Compact"/>
              <w:jc w:val="left"/>
            </w:pPr>
            <w:r>
              <w:t xml:space="preserve">Built &amp; deployed</w:t>
            </w:r>
          </w:p>
        </w:tc>
        <w:tc>
          <w:tcPr/>
          <w:p>
            <w:pPr>
              <w:pStyle w:val="Compact"/>
              <w:jc w:val="left"/>
            </w:pPr>
            <w:r>
              <w:t xml:space="preserve">Per-group AI access infrastructure</w:t>
            </w:r>
          </w:p>
        </w:tc>
      </w:tr>
      <w:tr>
        <w:tc>
          <w:tcPr/>
          <w:p>
            <w:pPr>
              <w:pStyle w:val="Compact"/>
              <w:jc w:val="left"/>
            </w:pPr>
            <w:r>
              <w:t xml:space="preserve">System 2: Claude Code per-group setup documentation</w:t>
            </w:r>
          </w:p>
        </w:tc>
        <w:tc>
          <w:tcPr/>
          <w:p>
            <w:pPr>
              <w:pStyle w:val="Compact"/>
              <w:jc w:val="left"/>
            </w:pPr>
            <w:r>
              <w:t xml:space="preserve">Complete</w:t>
            </w:r>
          </w:p>
        </w:tc>
        <w:tc>
          <w:tcPr/>
          <w:p>
            <w:pPr>
              <w:pStyle w:val="Compact"/>
              <w:jc w:val="left"/>
            </w:pPr>
            <w:r>
              <w:t xml:space="preserve">AI tool integration scaffolding</w:t>
            </w:r>
          </w:p>
        </w:tc>
      </w:tr>
      <w:tr>
        <w:tc>
          <w:tcPr/>
          <w:p>
            <w:pPr>
              <w:pStyle w:val="Compact"/>
              <w:jc w:val="left"/>
            </w:pPr>
            <w:r>
              <w:rPr>
                <w:rStyle w:val="VerbatimChar"/>
              </w:rPr>
              <w:t xml:space="preserve">CLAUDE.md</w:t>
            </w:r>
            <w:r>
              <w:t xml:space="preserve"> </w:t>
            </w:r>
            <w:r>
              <w:t xml:space="preserve">dual-purpose guardrail files</w:t>
            </w:r>
          </w:p>
        </w:tc>
        <w:tc>
          <w:tcPr/>
          <w:p>
            <w:pPr>
              <w:pStyle w:val="Compact"/>
              <w:jc w:val="left"/>
            </w:pPr>
            <w:r>
              <w:t xml:space="preserve">Complete</w:t>
            </w:r>
          </w:p>
        </w:tc>
        <w:tc>
          <w:tcPr/>
          <w:p>
            <w:pPr>
              <w:pStyle w:val="Compact"/>
              <w:jc w:val="left"/>
            </w:pPr>
            <w:r>
              <w:t xml:space="preserve">Pedagogical AI guardrails</w:t>
            </w:r>
          </w:p>
        </w:tc>
      </w:tr>
      <w:tr>
        <w:tc>
          <w:tcPr/>
          <w:p>
            <w:pPr>
              <w:pStyle w:val="Compact"/>
              <w:jc w:val="left"/>
            </w:pPr>
            <w:r>
              <w:t xml:space="preserve">Growth gamification system (GitHub Actions + METRICS.md)</w:t>
            </w:r>
          </w:p>
        </w:tc>
        <w:tc>
          <w:tcPr/>
          <w:p>
            <w:pPr>
              <w:pStyle w:val="Compact"/>
              <w:jc w:val="left"/>
            </w:pPr>
            <w:r>
              <w:t xml:space="preserve">Designed; in progress</w:t>
            </w:r>
          </w:p>
        </w:tc>
        <w:tc>
          <w:tcPr/>
          <w:p>
            <w:pPr>
              <w:pStyle w:val="Compact"/>
              <w:jc w:val="left"/>
            </w:pPr>
            <w:r>
              <w:t xml:space="preserve">Learning-velocity measurement</w:t>
            </w:r>
          </w:p>
        </w:tc>
      </w:tr>
      <w:tr>
        <w:tc>
          <w:tcPr/>
          <w:p>
            <w:pPr>
              <w:pStyle w:val="Compact"/>
              <w:jc w:val="left"/>
            </w:pPr>
            <w:r>
              <w:t xml:space="preserve">GRAY Clearance instructional design onboarding brief</w:t>
            </w:r>
          </w:p>
        </w:tc>
        <w:tc>
          <w:tcPr/>
          <w:p>
            <w:pPr>
              <w:pStyle w:val="Compact"/>
              <w:jc w:val="left"/>
            </w:pPr>
            <w:r>
              <w:t xml:space="preserve">Complete</w:t>
            </w:r>
          </w:p>
        </w:tc>
        <w:tc>
          <w:tcPr/>
          <w:p>
            <w:pPr>
              <w:pStyle w:val="Compact"/>
              <w:jc w:val="left"/>
            </w:pPr>
            <w:r>
              <w:t xml:space="preserve">Cross-disciplinary integration</w:t>
            </w:r>
          </w:p>
        </w:tc>
      </w:tr>
      <w:tr>
        <w:tc>
          <w:tcPr/>
          <w:p>
            <w:pPr>
              <w:pStyle w:val="Compact"/>
              <w:jc w:val="left"/>
            </w:pPr>
            <w:r>
              <w:t xml:space="preserve">Wireframing instructional deck (HTML/JS)</w:t>
            </w:r>
          </w:p>
        </w:tc>
        <w:tc>
          <w:tcPr/>
          <w:p>
            <w:pPr>
              <w:pStyle w:val="Compact"/>
              <w:jc w:val="left"/>
            </w:pPr>
            <w:r>
              <w:t xml:space="preserve">Complete</w:t>
            </w:r>
          </w:p>
        </w:tc>
        <w:tc>
          <w:tcPr/>
          <w:p>
            <w:pPr>
              <w:pStyle w:val="Compact"/>
              <w:jc w:val="left"/>
            </w:pPr>
            <w:r>
              <w:t xml:space="preserve">Gap-filling instructional content</w:t>
            </w:r>
          </w:p>
        </w:tc>
      </w:tr>
      <w:tr>
        <w:tc>
          <w:tcPr/>
          <w:p>
            <w:pPr>
              <w:pStyle w:val="Compact"/>
              <w:jc w:val="left"/>
            </w:pPr>
            <w:r>
              <w:t xml:space="preserve">Group 4 late-start catch-up package</w:t>
            </w:r>
          </w:p>
        </w:tc>
        <w:tc>
          <w:tcPr/>
          <w:p>
            <w:pPr>
              <w:pStyle w:val="Compact"/>
              <w:jc w:val="left"/>
            </w:pPr>
            <w:r>
              <w:t xml:space="preserve">Complete</w:t>
            </w:r>
          </w:p>
        </w:tc>
        <w:tc>
          <w:tcPr/>
          <w:p>
            <w:pPr>
              <w:pStyle w:val="Compact"/>
              <w:jc w:val="left"/>
            </w:pPr>
            <w:r>
              <w:t xml:space="preserve">Differentiated access / resilient infrastructure</w:t>
            </w:r>
          </w:p>
        </w:tc>
      </w:tr>
      <w:tr>
        <w:tc>
          <w:tcPr/>
          <w:p>
            <w:pPr>
              <w:pStyle w:val="Compact"/>
              <w:jc w:val="left"/>
            </w:pPr>
            <w:r>
              <w:t xml:space="preserve">AlgoCratic GitHub Pages site</w:t>
            </w:r>
          </w:p>
        </w:tc>
        <w:tc>
          <w:tcPr/>
          <w:p>
            <w:pPr>
              <w:pStyle w:val="Compact"/>
              <w:jc w:val="left"/>
            </w:pPr>
            <w:r>
              <w:t xml:space="preserve">In progress</w:t>
            </w:r>
          </w:p>
        </w:tc>
        <w:tc>
          <w:tcPr/>
          <w:p>
            <w:pPr>
              <w:pStyle w:val="Compact"/>
              <w:jc w:val="left"/>
            </w:pPr>
            <w:r>
              <w:t xml:space="preserve">Public-facing program identity</w:t>
            </w:r>
          </w:p>
        </w:tc>
      </w:tr>
    </w:tbl>
    <w:p>
      <w:r>
        <w:pict>
          <v:rect style="width:0;height:1.5pt" o:hralign="center" o:hrstd="t" o:hr="t"/>
        </w:pict>
      </w:r>
    </w:p>
    <w:bookmarkEnd w:id="31"/>
    <w:bookmarkStart w:id="32"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32"/>
    <w:bookmarkStart w:id="36" w:name="Xde5c3fa3cb9b6478d6f6432ee84ac53ad5f9c9b"/>
    <w:p>
      <w:pPr>
        <w:pStyle w:val="Heading2"/>
      </w:pPr>
      <w:r>
        <w:t xml:space="preserve">Institutional Value: A Platform, Not a Semester</w:t>
      </w:r>
    </w:p>
    <w:bookmarkStart w:id="33"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33"/>
    <w:bookmarkStart w:id="34" w:name="future-ready-alignment"/>
    <w:p>
      <w:pPr>
        <w:pStyle w:val="Heading3"/>
      </w:pPr>
      <w:r>
        <w:t xml:space="preserve">Future-Ready Alignment</w:t>
      </w:r>
    </w:p>
    <w:p>
      <w:pPr>
        <w:pStyle w:val="FirstParagraph"/>
      </w:pPr>
      <w:r>
        <w:t xml:space="preserve">The expectations this review is measured against were written for a course delivery role. The assigned courses were delivered. The market those graduates are entering will require fluency with AI-assisted development, Scrum workflows, cross-functional collaboration, and the capacity to operate inside imperfect systems without losing technical focus, and AlgoCratic Futures was built with that in mind.</w:t>
      </w:r>
    </w:p>
    <w:bookmarkEnd w:id="34"/>
    <w:bookmarkStart w:id="35"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35"/>
    <w:bookmarkEnd w:id="36"/>
    <w:bookmarkStart w:id="37" w:name="conclusion"/>
    <w:p>
      <w:pPr>
        <w:pStyle w:val="Heading2"/>
      </w:pPr>
      <w:r>
        <w:t xml:space="preserve">Conclusion</w:t>
      </w:r>
    </w:p>
    <w:p>
      <w:pPr>
        <w:pStyle w:val="FirstParagraph"/>
      </w:pPr>
      <w:r>
        <w:rPr>
          <w:bCs/>
          <w:b/>
        </w:rPr>
        <w:t xml:space="preserve">Requirement:</w:t>
      </w:r>
      <w:r>
        <w:t xml:space="preserve"> </w:t>
      </w:r>
      <w:r>
        <w:t xml:space="preserve">Deliver assigned courses.</w:t>
      </w:r>
    </w:p>
    <w:p>
      <w:pPr>
        <w:pStyle w:val="BodyText"/>
      </w:pPr>
      <w:r>
        <w:rPr>
          <w:bCs/>
          <w:b/>
        </w:rPr>
        <w:t xml:space="preserve">Delivered:</w:t>
      </w:r>
    </w:p>
    <w:p>
      <w:pPr>
        <w:numPr>
          <w:ilvl w:val="0"/>
          <w:numId w:val="1001"/>
        </w:numPr>
        <w:pStyle w:val="Compact"/>
      </w:pPr>
      <w:r>
        <w:t xml:space="preserve">An original, theoretically grounded, six-level immersive pedagogical environment built from scratch.</w:t>
      </w:r>
    </w:p>
    <w:p>
      <w:pPr>
        <w:numPr>
          <w:ilvl w:val="0"/>
          <w:numId w:val="1001"/>
        </w:numPr>
        <w:pStyle w:val="Compact"/>
      </w:pPr>
      <w:r>
        <w:t xml:space="preserve">Assessment architecture that measures learning velocity rather than position, operationalizing growth-mindset research in rubric form.</w:t>
      </w:r>
    </w:p>
    <w:p>
      <w:pPr>
        <w:numPr>
          <w:ilvl w:val="0"/>
          <w:numId w:val="1001"/>
        </w:numPr>
        <w:pStyle w:val="Compact"/>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numPr>
          <w:ilvl w:val="0"/>
          <w:numId w:val="1001"/>
        </w:numPr>
        <w:pStyle w:val="Compact"/>
      </w:pPr>
      <w:r>
        <w:t xml:space="preserve">Cross-disciplinary collaboration framework built on the GRAY clearance model (Objective 1).</w:t>
      </w:r>
    </w:p>
    <w:p>
      <w:pPr>
        <w:numPr>
          <w:ilvl w:val="0"/>
          <w:numId w:val="1001"/>
        </w:numPr>
        <w:pStyle w:val="Compact"/>
      </w:pPr>
      <w:r>
        <w:t xml:space="preserve">Fully documented, replicable platform available for multi-semester deployment.</w:t>
      </w:r>
    </w:p>
    <w:p>
      <w:pPr>
        <w:numPr>
          <w:ilvl w:val="0"/>
          <w:numId w:val="1001"/>
        </w:numPr>
        <w:pStyle w:val="Compact"/>
      </w:pPr>
      <w:r>
        <w:t xml:space="preserve">Graduate Showcase output demonstrating publicly presented student work.</w:t>
      </w:r>
    </w:p>
    <w:p>
      <w:pPr>
        <w:pStyle w:val="BlockText"/>
      </w:pPr>
      <w:r>
        <w:rPr>
          <w:bCs/>
          <w:b/>
        </w:rPr>
        <w:t xml:space="preserve">Assessment:</w:t>
      </w:r>
      <w:r>
        <w:t xml:space="preserve"> </w:t>
      </w:r>
      <w:r>
        <w:t xml:space="preserve">The assigned courses were delivered. The instructional environment described above was built and used as the delivery vehicle, and the supporting pieces are available to any colleague who wants to look at them.</w:t>
      </w:r>
    </w:p>
    <w:p>
      <w:pPr>
        <w:pStyle w:val="FirstParagraph"/>
      </w:pPr>
      <w:r>
        <w:rPr>
          <w:iCs/>
          <w:i/>
        </w:rPr>
        <w:t xml:space="preserve">Source bibliography is inline above — citations to Dilts (Neurological Levels, 1980s), Dweck (</w:t>
      </w:r>
      <w:r>
        <w:t xml:space="preserve">Mindset</w:t>
      </w:r>
      <w:r>
        <w:rPr>
          <w:iCs/>
          <w:i/>
        </w:rPr>
        <w:t xml:space="preserve">, Ballantine Books, 2006), Edmondson (</w:t>
      </w:r>
      <w:r>
        <w:t xml:space="preserve">ASQ</w:t>
      </w:r>
      <w:r>
        <w:rPr>
          <w:iCs/>
          <w:i/>
        </w:rPr>
        <w:t xml:space="preserve">, 1999), Lave and Wenger (</w:t>
      </w:r>
      <w:r>
        <w:t xml:space="preserve">Situated Learning</w:t>
      </w:r>
      <w:r>
        <w:rPr>
          <w:iCs/>
          <w:i/>
        </w:rPr>
        <w:t xml:space="preserve">, Cambridge University Press, 1991), and Poole-Dayan et al. (arXiv:2406.17737, 2024) constitute the theoretical grounding for this chapter.</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2026-08-02T12:25:55Z</dcterms:created>
  <dcterms:modified xsi:type="dcterms:W3CDTF">2026-08-02T12:25:55Z</dcterms:modified>
</cp:coreProperties>
</file>

<file path=docProps/custom.xml><?xml version="1.0" encoding="utf-8"?>
<Properties xmlns="http://schemas.openxmlformats.org/officeDocument/2006/custom-properties" xmlns:vt="http://schemas.openxmlformats.org/officeDocument/2006/docPropsVTypes"/>
</file>