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b40139990f012c5678b472dc649011d680bcea"/>
    <w:p>
      <w:pPr>
        <w:pStyle w:val="Heading1"/>
      </w:pPr>
      <w:r>
        <w:t xml:space="preserve">Evidence Base for a CS / Graphic Design Cross-Departmental Capstone Framework</w:t>
      </w:r>
    </w:p>
    <w:bookmarkStart w:id="9" w:name="tldr"/>
    <w:p>
      <w:pPr>
        <w:pStyle w:val="Heading2"/>
      </w:pPr>
      <w:r>
        <w:t xml:space="preserve">TL;DR</w:t>
      </w:r>
    </w:p>
    <w:p>
      <w:pPr>
        <w:pStyle w:val="Compact"/>
        <w:numPr>
          <w:ilvl w:val="0"/>
          <w:numId w:val="1001"/>
        </w:numPr>
      </w:pPr>
      <w:r>
        <w:rPr>
          <w:b/>
          <w:bCs/>
        </w:rPr>
        <w:t xml:space="preserve">The proposed framework is strongly supported by convergent evidence from peer-reviewed CS education research (ACM SIGCSE,</w:t>
      </w:r>
      <w:r>
        <w:rPr>
          <w:b/>
          <w:bCs/>
        </w:rPr>
        <w:t xml:space="preserve"> </w:t>
      </w:r>
      <w:r>
        <w:rPr>
          <w:b/>
          <w:bCs/>
          <w:i/>
          <w:iCs/>
        </w:rPr>
        <w:t xml:space="preserve">IEEE Transactions on Education</w:t>
      </w:r>
      <w:r>
        <w:rPr>
          <w:b/>
          <w:bCs/>
        </w:rPr>
        <w:t xml:space="preserve">,</w:t>
      </w:r>
      <w:r>
        <w:rPr>
          <w:b/>
          <w:bCs/>
        </w:rPr>
        <w:t xml:space="preserve"> </w:t>
      </w:r>
      <w:r>
        <w:rPr>
          <w:b/>
          <w:bCs/>
          <w:i/>
          <w:iCs/>
        </w:rPr>
        <w:t xml:space="preserve">Journal of Computing Sciences in Colleges</w:t>
      </w:r>
      <w:r>
        <w:rPr>
          <w:b/>
          <w:bCs/>
        </w:rPr>
        <w:t xml:space="preserve">), national employer surveys (NACE Job Outlook 2025/2026; WEF</w:t>
      </w:r>
      <w:r>
        <w:rPr>
          <w:b/>
          <w:bCs/>
        </w:rPr>
        <w:t xml:space="preserve"> </w:t>
      </w:r>
      <w:r>
        <w:rPr>
          <w:b/>
          <w:bCs/>
          <w:i/>
          <w:iCs/>
        </w:rPr>
        <w:t xml:space="preserve">Future of Jobs Report 2025</w:t>
      </w:r>
      <w:r>
        <w:rPr>
          <w:b/>
          <w:bCs/>
        </w:rPr>
        <w:t xml:space="preserve">), labor-market analytics (Burning Glass / Lightcast on</w:t>
      </w:r>
      <w:r>
        <w:rPr>
          <w:b/>
          <w:bCs/>
        </w:rPr>
        <w:t xml:space="preserve"> </w:t>
      </w:r>
      <w:r>
        <w:rPr>
          <w:b/>
          <w:bCs/>
        </w:rPr>
        <w:t xml:space="preserve">“hybrid jobs”</w:t>
      </w:r>
      <w:r>
        <w:rPr>
          <w:b/>
          <w:bCs/>
        </w:rPr>
        <w:t xml:space="preserve">), and practitioner authorities (Nielsen Norman Group, IDEO, Agile Alliance, Scrum Alliance, AAC&amp;U). Every structural element of the framework maps onto a documented best practice.</w:t>
      </w:r>
    </w:p>
    <w:p>
      <w:pPr>
        <w:pStyle w:val="Compact"/>
        <w:numPr>
          <w:ilvl w:val="0"/>
          <w:numId w:val="1001"/>
        </w:numPr>
      </w:pPr>
      <w:r>
        <w:rPr>
          <w:b/>
          <w:bCs/>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
          <w:iCs/>
        </w:rPr>
        <w:t xml:space="preserve">Future of Jobs Report 2025</w:t>
      </w:r>
      <w:r>
        <w:t xml:space="preserve"> </w:t>
      </w:r>
      <w:r>
        <w:t xml:space="preserve">finds</w:t>
      </w:r>
      <w:r>
        <w:t xml:space="preserve"> </w:t>
      </w:r>
      <w:r>
        <w:t xml:space="preserve">“workers can expect that two-fifths (39%) of their existing skill sets will be transformed or become outdated over the 2025–2030 period,”</w:t>
      </w:r>
      <w:r>
        <w:t xml:space="preserve"> </w:t>
      </w:r>
      <w:r>
        <w:t xml:space="preserve">with analytical thinking, AI &amp; big data, creative thinking, and resilience/flexibility/agility leading the rising-skill list — a profile that aligns with IDEO’s</w:t>
      </w:r>
      <w:r>
        <w:t xml:space="preserve"> </w:t>
      </w:r>
      <w:r>
        <w:t xml:space="preserve">“T-shaped”</w:t>
      </w:r>
      <w:r>
        <w:t xml:space="preserve"> </w:t>
      </w:r>
      <w:r>
        <w:t xml:space="preserve">model and Burning Glass’s</w:t>
      </w:r>
      <w:r>
        <w:t xml:space="preserve"> </w:t>
      </w:r>
      <w:r>
        <w:rPr>
          <w:i/>
          <w:iCs/>
        </w:rPr>
        <w:t xml:space="preserve">Hybrid Job Economy</w:t>
      </w:r>
      <w:r>
        <w:t xml:space="preserve"> </w:t>
      </w:r>
      <w:r>
        <w:t xml:space="preserve">(2019) finding that hybrid roles pay 20–40% more and grow at roughly twice the overall rate.</w:t>
      </w:r>
    </w:p>
    <w:p>
      <w:pPr>
        <w:pStyle w:val="Compact"/>
        <w:numPr>
          <w:ilvl w:val="0"/>
          <w:numId w:val="1001"/>
        </w:numPr>
      </w:pPr>
      <w:r>
        <w:rPr>
          <w:b/>
          <w:bCs/>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9"/>
    <w:bookmarkStart w:id="10" w:name="key-findings"/>
    <w:p>
      <w:pPr>
        <w:pStyle w:val="Heading2"/>
      </w:pPr>
      <w:r>
        <w:t xml:space="preserve">Key Findings</w:t>
      </w:r>
    </w:p>
    <w:p>
      <w:pPr>
        <w:pStyle w:val="Compact"/>
        <w:numPr>
          <w:ilvl w:val="0"/>
          <w:numId w:val="1002"/>
        </w:numPr>
      </w:pPr>
      <w:r>
        <w:rPr>
          <w:b/>
          <w:bCs/>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“Performamatics: Experiences With Connecting a Computer Science Course to a Design Arts Course”</w:t>
      </w:r>
      <w:r>
        <w:t xml:space="preserve"> </w:t>
      </w:r>
      <w:r>
        <w:t xml:space="preserve">(</w:t>
      </w:r>
      <w:r>
        <w:rPr>
          <w:i/>
          <w:iCs/>
        </w:rPr>
        <w:t xml:space="preserve">International Journal of Learning</w:t>
      </w:r>
      <w:r>
        <w:t xml:space="preserve"> </w:t>
      </w:r>
      <w:r>
        <w:t xml:space="preserve">15(2):9–16, 2008) and McDonald &amp; Wolfe’s</w:t>
      </w:r>
      <w:r>
        <w:t xml:space="preserve"> </w:t>
      </w:r>
      <w:r>
        <w:t xml:space="preserve">“Using computer graphics to foster interdisciplinary collaboration in capstone courses”</w:t>
      </w:r>
      <w:r>
        <w:t xml:space="preserve"> </w:t>
      </w:r>
      <w:r>
        <w:t xml:space="preserve">(</w:t>
      </w:r>
      <w:r>
        <w:rPr>
          <w:i/>
          <w:iCs/>
        </w:rPr>
        <w:t xml:space="preserve">Journal of Computing Sciences in Colleges</w:t>
      </w:r>
      <w:r>
        <w:t xml:space="preserve"> </w:t>
      </w:r>
      <w:r>
        <w:t xml:space="preserve">24(1):83–90, 2008, DePaul). Both report that, in the words of McDonald &amp; Wolfe’s abstract,</w:t>
      </w:r>
      <w:r>
        <w:t xml:space="preserve"> </w:t>
      </w:r>
      <w:r>
        <w:t xml:space="preserve">“working effectively as a member of an interdisciplinary team is a skill highly valued by today’s employers.”</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“a smoother end product.”</w:t>
      </w:r>
    </w:p>
    <w:p>
      <w:pPr>
        <w:pStyle w:val="Compact"/>
        <w:numPr>
          <w:ilvl w:val="0"/>
          <w:numId w:val="1002"/>
        </w:numPr>
      </w:pPr>
      <w:r>
        <w:rPr>
          <w:b/>
          <w:bCs/>
        </w:rPr>
        <w:t xml:space="preserve">Agile/Scrum in capstone courses produces industry-aligned outcomes.</w:t>
      </w:r>
      <w:r>
        <w:t xml:space="preserve"> </w:t>
      </w:r>
      <w:r>
        <w:t xml:space="preserve">Mahnič’s longitudinal study</w:t>
      </w:r>
      <w:r>
        <w:t xml:space="preserve"> </w:t>
      </w:r>
      <w:r>
        <w:t xml:space="preserve">“A Capstone Course on Agile Software Development Using Scrum”</w:t>
      </w:r>
      <w:r>
        <w:t xml:space="preserve"> </w:t>
      </w:r>
      <w:r>
        <w:t xml:space="preserve">(</w:t>
      </w:r>
      <w:r>
        <w:rPr>
          <w:i/>
          <w:iCs/>
        </w:rPr>
        <w:t xml:space="preserve">IEEE Transactions on Education</w:t>
      </w:r>
      <w:r>
        <w:t xml:space="preserve"> </w:t>
      </w:r>
      <w:r>
        <w:t xml:space="preserve">55(1), Feb 2012, DOI 10.1109/TE.2011.2142311) reports that students’</w:t>
      </w:r>
      <w:r>
        <w:t xml:space="preserve"> </w:t>
      </w:r>
      <w:r>
        <w:t xml:space="preserve">“opinions about the course are overwhelmingly positive, indicating that the course is interesting and beneficial to their employability and professional career,”</w:t>
      </w:r>
      <w:r>
        <w:t xml:space="preserve"> </w:t>
      </w:r>
      <w:r>
        <w:t xml:space="preserve">with measurable improvements in estimation and planning. Matthies’s</w:t>
      </w:r>
      <w:r>
        <w:t xml:space="preserve"> </w:t>
      </w:r>
      <w:r>
        <w:t xml:space="preserve">“Scrum2Kanban”</w:t>
      </w:r>
      <w:r>
        <w:t xml:space="preserve"> </w:t>
      </w:r>
      <w:r>
        <w:t xml:space="preserve">(IEEE/ACM SEEM ’18, arXiv:1804.03412) extends the pattern. Scrum Alliance defines cross-functional teams as those whose members</w:t>
      </w:r>
      <w:r>
        <w:t xml:space="preserve"> </w:t>
      </w:r>
      <w:r>
        <w:t xml:space="preserve">“can include developers, testers, designers, and any other roles required to achieve the sprint goal”</w:t>
      </w:r>
      <w:r>
        <w:t xml:space="preserve"> </w:t>
      </w:r>
      <w:r>
        <w:t xml:space="preserve">— the exact configuration of a CS-plus-design capstone team.</w:t>
      </w:r>
    </w:p>
    <w:p>
      <w:pPr>
        <w:pStyle w:val="Compact"/>
        <w:numPr>
          <w:ilvl w:val="0"/>
          <w:numId w:val="1002"/>
        </w:numPr>
      </w:pPr>
      <w:r>
        <w:rPr>
          <w:b/>
          <w:bCs/>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“Creating Design Specs for Development”</w:t>
      </w:r>
      <w:r>
        <w:t xml:space="preserve"> </w:t>
      </w:r>
      <w:r>
        <w:t xml:space="preserve">(Kelley Gordon, June 20, 2025) defines specs as documents that</w:t>
      </w:r>
      <w:r>
        <w:t xml:space="preserve"> </w:t>
      </w:r>
      <w:r>
        <w:t xml:space="preserve">“provide all relevant information on the functionality, behavior, and appearance of a design, so that developers can implement the design into a real, functioning product,”</w:t>
      </w:r>
      <w:r>
        <w:t xml:space="preserve"> </w:t>
      </w:r>
      <w:r>
        <w:t xml:space="preserve">and warns</w:t>
      </w:r>
      <w:r>
        <w:t xml:space="preserve"> </w:t>
      </w:r>
      <w:r>
        <w:t xml:space="preserve">“you would be shocked how many times a lack of documentation has created confusion and frustration in design and development teams.”</w:t>
      </w:r>
      <w:r>
        <w:t xml:space="preserve"> </w:t>
      </w:r>
      <w:r>
        <w:t xml:space="preserve">NN/g’s</w:t>
      </w:r>
      <w:r>
        <w:t xml:space="preserve"> </w:t>
      </w:r>
      <w:r>
        <w:t xml:space="preserve">“Use Good Prototype Specifications to Empower Team Collaboration”</w:t>
      </w:r>
      <w:r>
        <w:t xml:space="preserve"> </w:t>
      </w:r>
      <w:r>
        <w:t xml:space="preserve">frames specs as the mechanism that</w:t>
      </w:r>
      <w:r>
        <w:t xml:space="preserve"> </w:t>
      </w:r>
      <w:r>
        <w:t xml:space="preserve">“empower team collaboration and lower communication costs.”</w:t>
      </w:r>
      <w:r>
        <w:t xml:space="preserve"> </w:t>
      </w:r>
      <w:r>
        <w:t xml:space="preserve">The Interaction Design Foundation’s 2026 handoff curriculum emphasizes that vague specifications and disorganized files are the principal failure modes designers must avoid.</w:t>
      </w:r>
    </w:p>
    <w:p>
      <w:pPr>
        <w:pStyle w:val="Compact"/>
        <w:numPr>
          <w:ilvl w:val="0"/>
          <w:numId w:val="1002"/>
        </w:numPr>
      </w:pPr>
      <w:r>
        <w:rPr>
          <w:b/>
          <w:bCs/>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“by defining clear checkpoints, setting realistic dates, monitoring progress systematically, and taking corrective action promptly, organizations can significantly improve their project success rates.”</w:t>
      </w:r>
      <w:r>
        <w:t xml:space="preserve"> </w:t>
      </w:r>
      <w:r>
        <w:t xml:space="preserve">Milestones force teams to define</w:t>
      </w:r>
      <w:r>
        <w:t xml:space="preserve"> </w:t>
      </w:r>
      <w:r>
        <w:t xml:space="preserve">“what</w:t>
      </w:r>
      <w:r>
        <w:t xml:space="preserve"> </w:t>
      </w:r>
      <w:r>
        <w:t xml:space="preserve">‘done’</w:t>
      </w:r>
      <w:r>
        <w:t xml:space="preserve"> </w:t>
      </w:r>
      <w:r>
        <w:t xml:space="preserve">looks like at various intervals,”</w:t>
      </w:r>
      <w:r>
        <w:t xml:space="preserve"> </w:t>
      </w:r>
      <w:r>
        <w:t xml:space="preserve">shifting from activity-based to outcome-based execution — particularly valuable in interdisciplinary student teams where each discipline tracks different artifacts.</w:t>
      </w:r>
    </w:p>
    <w:p>
      <w:pPr>
        <w:pStyle w:val="Compact"/>
        <w:numPr>
          <w:ilvl w:val="0"/>
          <w:numId w:val="1002"/>
        </w:numPr>
      </w:pPr>
      <w:r>
        <w:rPr>
          <w:b/>
          <w:bCs/>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
          <w:iCs/>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“The Use of Scoring Rubrics: Reliability, Validity and Educational Consequences”</w:t>
      </w:r>
      <w:r>
        <w:t xml:space="preserve"> </w:t>
      </w:r>
      <w:r>
        <w:t xml:space="preserve">(</w:t>
      </w:r>
      <w:r>
        <w:rPr>
          <w:i/>
          <w:iCs/>
        </w:rPr>
        <w:t xml:space="preserve">Educational Research Review</w:t>
      </w:r>
      <w:r>
        <w:t xml:space="preserve"> </w:t>
      </w:r>
      <w:r>
        <w:t xml:space="preserve">2(2):130–144, 2007), which concludes that</w:t>
      </w:r>
      <w:r>
        <w:t xml:space="preserve"> </w:t>
      </w:r>
      <w:r>
        <w:t xml:space="preserve">“rubrics seem to have the potential of promoting student learning”</w:t>
      </w:r>
      <w:r>
        <w:t xml:space="preserve"> </w:t>
      </w:r>
      <w:r>
        <w:t xml:space="preserve">by</w:t>
      </w:r>
      <w:r>
        <w:t xml:space="preserve"> </w:t>
      </w:r>
      <w:r>
        <w:t xml:space="preserve">“making expectations and criteria explicit.”</w:t>
      </w:r>
      <w:r>
        <w:t xml:space="preserve"> </w:t>
      </w:r>
      <w:r>
        <w:t xml:space="preserve">A 2024 meta-analysis (Panadero et al.,</w:t>
      </w:r>
      <w:r>
        <w:t xml:space="preserve"> </w:t>
      </w:r>
      <w:r>
        <w:rPr>
          <w:i/>
          <w:iCs/>
        </w:rPr>
        <w:t xml:space="preserve">Educational Psychology Review</w:t>
      </w:r>
      <w:r>
        <w:t xml:space="preserve">, DOI 10.1007/s10648-023-09823-4) finds</w:t>
      </w:r>
      <w:r>
        <w:t xml:space="preserve"> </w:t>
      </w:r>
      <w:r>
        <w:t xml:space="preserve">“a moderate and positive effect … on academic performance (g = 0.45).”</w:t>
      </w:r>
    </w:p>
    <w:p>
      <w:pPr>
        <w:pStyle w:val="Compact"/>
        <w:numPr>
          <w:ilvl w:val="0"/>
          <w:numId w:val="1002"/>
        </w:numPr>
      </w:pPr>
      <w:r>
        <w:rPr>
          <w:b/>
          <w:bCs/>
        </w:rPr>
        <w:t xml:space="preserve">Employer demand for cross-functional /</w:t>
      </w:r>
      <w:r>
        <w:rPr>
          <w:b/>
          <w:bCs/>
        </w:rPr>
        <w:t xml:space="preserve"> </w:t>
      </w:r>
      <w:r>
        <w:rPr>
          <w:b/>
          <w:bCs/>
        </w:rPr>
        <w:t xml:space="preserve">“T-shaped”</w:t>
      </w:r>
      <w:r>
        <w:rPr>
          <w:b/>
          <w:bCs/>
        </w:rPr>
        <w:t xml:space="preserve"> </w:t>
      </w:r>
      <w:r>
        <w:rPr>
          <w:b/>
          <w:bCs/>
        </w:rPr>
        <w:t xml:space="preserve">graduates is documented, large, and growing.</w:t>
      </w:r>
    </w:p>
    <w:p>
      <w:pPr>
        <w:pStyle w:val="Compact"/>
        <w:numPr>
          <w:ilvl w:val="0"/>
          <w:numId w:val="1003"/>
        </w:numPr>
      </w:pPr>
      <w:r>
        <w:rPr>
          <w:b/>
          <w:bCs/>
        </w:rPr>
        <w:t xml:space="preserve">NACE Job Outlook 2025</w:t>
      </w:r>
      <w:r>
        <w:t xml:space="preserve"> </w:t>
      </w:r>
      <w:r>
        <w:t xml:space="preserve">(n=237 employers; data collected Aug–Sep 2024): per NACE’s own</w:t>
      </w:r>
      <w:r>
        <w:t xml:space="preserve"> </w:t>
      </w:r>
      <w:r>
        <w:t xml:space="preserve">“What Are Employers Looking for When Reviewing College Students’ Resumes?”</w:t>
      </w:r>
      <w:r>
        <w:t xml:space="preserve"> </w:t>
      </w:r>
      <w:r>
        <w:t xml:space="preserve">article,</w:t>
      </w:r>
      <w:r>
        <w:t xml:space="preserve"> </w:t>
      </w:r>
      <w:r>
        <w:t xml:space="preserve">“nearly 90% of employers … indicated they are seeking evidence of a student’s ability to solve problems and nearly 80% are seeking candidates who have strong teamwork skills.”</w:t>
      </w:r>
      <w:r>
        <w:t xml:space="preserve"> </w:t>
      </w:r>
      <w:r>
        <w:t xml:space="preserve">More than three-quarters cite communication.</w:t>
      </w:r>
    </w:p>
    <w:p>
      <w:pPr>
        <w:pStyle w:val="Compact"/>
        <w:numPr>
          <w:ilvl w:val="0"/>
          <w:numId w:val="1003"/>
        </w:numPr>
      </w:pPr>
      <w:r>
        <w:rPr>
          <w:b/>
          <w:bCs/>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pStyle w:val="Compact"/>
        <w:numPr>
          <w:ilvl w:val="0"/>
          <w:numId w:val="1003"/>
        </w:numPr>
      </w:pPr>
      <w:r>
        <w:rPr>
          <w:b/>
          <w:bCs/>
        </w:rPr>
        <w:t xml:space="preserve">NACE student-vs-employer perception gaps</w:t>
      </w:r>
      <w:r>
        <w:t xml:space="preserve">: in NACE’s</w:t>
      </w:r>
      <w:r>
        <w:t xml:space="preserve"> </w:t>
      </w:r>
      <w:r>
        <w:t xml:space="preserve">“The Gap in Perceptions of New Grads’ Competency Proficiency”</w:t>
      </w:r>
      <w:r>
        <w:t xml:space="preserve"> </w:t>
      </w:r>
      <w:r>
        <w:t xml:space="preserve">(citing the 2024 Student Survey, n=20,482, and JO 2025),</w:t>
      </w:r>
      <w:r>
        <w:t xml:space="preserve"> </w:t>
      </w:r>
      <w:r>
        <w:t xml:space="preserve">“for leadership and professionalism the gap exceeds or approaches 30%, while for critical thinking and communication, it is approximately 25%.”</w:t>
      </w:r>
      <w:r>
        <w:t xml:space="preserve"> </w:t>
      </w:r>
      <w:r>
        <w:t xml:space="preserve">For professionalism specifically,</w:t>
      </w:r>
      <w:r>
        <w:t xml:space="preserve"> </w:t>
      </w:r>
      <w:r>
        <w:t xml:space="preserve">“84.6% of students and just 50% of employers perceive students to be</w:t>
      </w:r>
      <w:r>
        <w:t xml:space="preserve"> </w:t>
      </w:r>
      <w:r>
        <w:t xml:space="preserve">‘very or extremely’</w:t>
      </w:r>
      <w:r>
        <w:t xml:space="preserve"> </w:t>
      </w:r>
      <w:r>
        <w:t xml:space="preserve">proficient in this competency.”</w:t>
      </w:r>
    </w:p>
    <w:p>
      <w:pPr>
        <w:pStyle w:val="Compact"/>
        <w:numPr>
          <w:ilvl w:val="0"/>
          <w:numId w:val="1003"/>
        </w:numPr>
      </w:pPr>
      <w:r>
        <w:rPr>
          <w:b/>
          <w:bCs/>
        </w:rPr>
        <w:t xml:space="preserve">WEF</w:t>
      </w:r>
      <w:r>
        <w:rPr>
          <w:b/>
          <w:bCs/>
        </w:rPr>
        <w:t xml:space="preserve"> </w:t>
      </w:r>
      <w:r>
        <w:rPr>
          <w:b/>
          <w:bCs/>
          <w:i/>
          <w:iCs/>
        </w:rPr>
        <w:t xml:space="preserve">Future of Jobs Report 2025</w:t>
      </w:r>
      <w:r>
        <w:t xml:space="preserve"> </w:t>
      </w:r>
      <w:r>
        <w:t xml:space="preserve">(&gt;1,000 employers, ~14M workers, 55 economies):</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On skill churn:</w:t>
      </w:r>
      <w:r>
        <w:t xml:space="preserve"> </w:t>
      </w:r>
      <w:r>
        <w:t xml:space="preserve">“workers can expect that two-fifths (39%) of their existing skill sets will be transformed or become outdated over the 2025–2030 period.”</w:t>
      </w:r>
    </w:p>
    <w:p>
      <w:pPr>
        <w:pStyle w:val="Compact"/>
        <w:numPr>
          <w:ilvl w:val="0"/>
          <w:numId w:val="1003"/>
        </w:numPr>
      </w:pPr>
      <w:r>
        <w:rPr>
          <w:b/>
          <w:bCs/>
        </w:rPr>
        <w:t xml:space="preserve">Burning Glass Technologies,</w:t>
      </w:r>
      <w:r>
        <w:rPr>
          <w:b/>
          <w:bCs/>
        </w:rPr>
        <w:t xml:space="preserve"> </w:t>
      </w:r>
      <w:r>
        <w:rPr>
          <w:b/>
          <w:bCs/>
          <w:i/>
          <w:iCs/>
        </w:rPr>
        <w:t xml:space="preserve">The Hybrid Job Economy</w:t>
      </w:r>
      <w:r>
        <w:rPr>
          <w:b/>
          <w:bCs/>
        </w:rPr>
        <w:t xml:space="preserve"> </w:t>
      </w:r>
      <w:r>
        <w:rPr>
          <w:b/>
          <w:bCs/>
        </w:rPr>
        <w:t xml:space="preserve">(2019)</w:t>
      </w:r>
      <w:r>
        <w:t xml:space="preserve">: hybrid roles</w:t>
      </w:r>
      <w:r>
        <w:t xml:space="preserve"> </w:t>
      </w:r>
      <w:r>
        <w:t xml:space="preserve">“are projected to grow twice as fast as jobs overall (21% vs 10%),”</w:t>
      </w:r>
      <w:r>
        <w:t xml:space="preserve"> </w:t>
      </w:r>
      <w:r>
        <w:t xml:space="preserve">are</w:t>
      </w:r>
      <w:r>
        <w:t xml:space="preserve"> </w:t>
      </w:r>
      <w:r>
        <w:t xml:space="preserve">“20–40% higher-paying than their more-traditional counterparts,”</w:t>
      </w:r>
      <w:r>
        <w:t xml:space="preserve"> </w:t>
      </w:r>
      <w:r>
        <w:t xml:space="preserve">and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 </w:t>
      </w:r>
      <w:r>
        <w:t xml:space="preserve">Chairman Matt Sigelman:</w:t>
      </w:r>
      <w:r>
        <w:t xml:space="preserve"> </w:t>
      </w:r>
      <w:r>
        <w:t xml:space="preserve">“the most highly hybridized jobs are about three and a half times more likely to value creativity skills, about twice as likely to value collaboration skills.”</w:t>
      </w:r>
    </w:p>
    <w:p>
      <w:pPr>
        <w:pStyle w:val="Compact"/>
        <w:numPr>
          <w:ilvl w:val="0"/>
          <w:numId w:val="1003"/>
        </w:numPr>
      </w:pPr>
      <w:r>
        <w:rPr>
          <w:b/>
          <w:bCs/>
        </w:rPr>
        <w:t xml:space="preserve">IDEO / Tim Brown</w:t>
      </w:r>
      <w:r>
        <w:t xml:space="preserve"> </w:t>
      </w:r>
      <w:r>
        <w:t xml:space="preserve">(Chief Executive interview, 2010) popularized the T-shape: depth in a discipline plus</w:t>
      </w:r>
      <w:r>
        <w:t xml:space="preserve"> </w:t>
      </w:r>
      <w:r>
        <w:t xml:space="preserve">“the disposition for collaboration across disciplines”</w:t>
      </w:r>
      <w:r>
        <w:t xml:space="preserve"> </w:t>
      </w:r>
      <w:r>
        <w:t xml:space="preserve">— without which</w:t>
      </w:r>
      <w:r>
        <w:t xml:space="preserve"> </w:t>
      </w:r>
      <w:r>
        <w:t xml:space="preserve">“you get gray compromises where the best you can achieve is the lowest common denominator.”</w:t>
      </w:r>
      <w:r>
        <w:t xml:space="preserve"> </w:t>
      </w:r>
      <w:r>
        <w:t xml:space="preserve">Agile Alliance and Scrum Alliance both treat T-shaped, cross-functional individuals as the structural unit of modern software teams.</w:t>
      </w:r>
    </w:p>
    <w:p>
      <w:pPr>
        <w:pStyle w:val="Compact"/>
        <w:numPr>
          <w:ilvl w:val="0"/>
          <w:numId w:val="1004"/>
        </w:numPr>
      </w:pPr>
      <w:r>
        <w:rPr>
          <w:b/>
          <w:bCs/>
        </w:rPr>
        <w:t xml:space="preserve">Design–development integration is an established industry practice with named methodologies.</w:t>
      </w:r>
      <w:r>
        <w:t xml:space="preserve"> </w:t>
      </w:r>
      <w:r>
        <w:t xml:space="preserve">Google Ventures’ Design Sprint (Jake Knapp, 2010;</w:t>
      </w:r>
      <w:r>
        <w:t xml:space="preserve"> </w:t>
      </w:r>
      <w:r>
        <w:rPr>
          <w:i/>
          <w:iCs/>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“Building Strong Designer-Developer Relationships”</w:t>
      </w:r>
      <w:r>
        <w:t xml:space="preserve"> </w:t>
      </w:r>
      <w:r>
        <w:t xml:space="preserve">(Sarah Gibbons) argues that</w:t>
      </w:r>
      <w:r>
        <w:t xml:space="preserve"> </w:t>
      </w:r>
      <w:r>
        <w:t xml:space="preserve">“design and development teams should approach collaboration as co-owners of the product experience.”</w:t>
      </w:r>
      <w:r>
        <w:t xml:space="preserve"> </w:t>
      </w:r>
      <w:r>
        <w:t xml:space="preserve">Agile Alliance: cross-functional teams</w:t>
      </w:r>
      <w:r>
        <w:t xml:space="preserve"> </w:t>
      </w:r>
      <w:r>
        <w:t xml:space="preserve">“require regular touch points, such as sprint reviews or daily stand-ups, where each department provides updates and receives feedback”</w:t>
      </w:r>
      <w:r>
        <w:t xml:space="preserve"> </w:t>
      </w:r>
      <w:r>
        <w:t xml:space="preserve">— the same ceremonies a capstone should adopt.</w:t>
      </w:r>
    </w:p>
    <w:p>
      <w:pPr>
        <w:pStyle w:val="Compact"/>
        <w:numPr>
          <w:ilvl w:val="0"/>
          <w:numId w:val="1004"/>
        </w:numPr>
      </w:pPr>
      <w:r>
        <w:rPr>
          <w:b/>
          <w:bCs/>
        </w:rPr>
        <w:t xml:space="preserve">The framework satisfies AAC&amp;U high-impact-practice criteria and community-college CTE program-review requirements.</w:t>
      </w:r>
      <w:r>
        <w:t xml:space="preserve"> </w:t>
      </w:r>
      <w:r>
        <w:t xml:space="preserve">AAC&amp;U/Kuh recognize</w:t>
      </w:r>
      <w:r>
        <w:t xml:space="preserve"> </w:t>
      </w:r>
      <w:r>
        <w:rPr>
          <w:i/>
          <w:iCs/>
        </w:rPr>
        <w:t xml:space="preserve">Capstone Courses and Projects</w:t>
      </w:r>
      <w:r>
        <w:t xml:space="preserve"> </w:t>
      </w:r>
      <w:r>
        <w:t xml:space="preserve">and</w:t>
      </w:r>
      <w:r>
        <w:t xml:space="preserve"> </w:t>
      </w:r>
      <w:r>
        <w:rPr>
          <w:i/>
          <w:iCs/>
        </w:rPr>
        <w:t xml:space="preserve">Collaborative Assignments and Projects</w:t>
      </w:r>
      <w:r>
        <w:t xml:space="preserve"> </w:t>
      </w:r>
      <w:r>
        <w:t xml:space="preserve">as two of the eleven evidence-based HIPs (Kuh,</w:t>
      </w:r>
      <w:r>
        <w:t xml:space="preserve"> </w:t>
      </w:r>
      <w:r>
        <w:rPr>
          <w:i/>
          <w:iCs/>
        </w:rPr>
        <w:t xml:space="preserve">High-Impact Educational Practices: What They Are, Who Has Access to Them, and Why They Matter</w:t>
      </w:r>
      <w:r>
        <w:t xml:space="preserve">, AAC&amp;U, 2008; Kuh &amp; O’Donnell,</w:t>
      </w:r>
      <w:r>
        <w:t xml:space="preserve"> </w:t>
      </w:r>
      <w:r>
        <w:rPr>
          <w:i/>
          <w:iCs/>
        </w:rPr>
        <w:t xml:space="preserve">Ensuring Quality &amp; Taking High-Impact Practices to Scale</w:t>
      </w:r>
      <w:r>
        <w:t xml:space="preserve">, 2013). The Iowa Department of Education’s</w:t>
      </w:r>
      <w:r>
        <w:t xml:space="preserve"> </w:t>
      </w:r>
      <w:r>
        <w:rPr>
          <w:i/>
          <w:iCs/>
        </w:rPr>
        <w:t xml:space="preserve">Community College CTE Program Review Toolkit</w:t>
      </w:r>
      <w:r>
        <w:t xml:space="preserve"> </w:t>
      </w:r>
      <w:r>
        <w:t xml:space="preserve">(July 2025) explicitly asks programs to describe</w:t>
      </w:r>
      <w:r>
        <w:t xml:space="preserve"> </w:t>
      </w:r>
      <w:r>
        <w:t xml:space="preserve">“how the curriculum allows for interdisciplinary learning opportunities, such as collaboration between different departments or fields of study, to reflect the integrated nature of many modern”</w:t>
      </w:r>
      <w:r>
        <w:t xml:space="preserve"> </w:t>
      </w:r>
      <w:r>
        <w:t xml:space="preserve">workplaces — a question this capstone framework answers directly.</w:t>
      </w:r>
    </w:p>
    <w:p>
      <w:r>
        <w:pict>
          <v:rect style="width:0;height:1.5pt" o:hralign="center" o:hrstd="t" o:hr="t"/>
        </w:pict>
      </w:r>
    </w:p>
    <w:bookmarkEnd w:id="10"/>
    <w:bookmarkStart w:id="19" w:name="details"/>
    <w:p>
      <w:pPr>
        <w:pStyle w:val="Heading2"/>
      </w:pPr>
      <w:r>
        <w:t xml:space="preserve">Details</w:t>
      </w:r>
    </w:p>
    <w:bookmarkStart w:id="11"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pStyle w:val="Compact"/>
        <w:numPr>
          <w:ilvl w:val="0"/>
          <w:numId w:val="1005"/>
        </w:numPr>
      </w:pPr>
      <w:r>
        <w:rPr>
          <w:b/>
          <w:bCs/>
        </w:rPr>
        <w:t xml:space="preserve">Heines, J. M., Jeffers, J., &amp; Kuhn, S. (2008).</w:t>
      </w:r>
      <w:r>
        <w:t xml:space="preserve"> </w:t>
      </w:r>
      <w:r>
        <w:t xml:space="preserve">“Performamatics: Experiences With Connecting a Computer Science Course to a Design Arts Course.”</w:t>
      </w:r>
      <w:r>
        <w:t xml:space="preserve"> </w:t>
      </w:r>
      <w:r>
        <w:rPr>
          <w:i/>
          <w:iCs/>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“the impact on CS students was considerably more positive than on Art students and discuss why that may have been so”</w:t>
      </w:r>
      <w:r>
        <w:t xml:space="preserve"> </w:t>
      </w:r>
      <w:r>
        <w:t xml:space="preserve">— an empirical finding faculty should plan for (asymmetric perceived gains require deliberate counter-design in the rubric and project scoping).</w:t>
      </w:r>
    </w:p>
    <w:p>
      <w:pPr>
        <w:pStyle w:val="Compact"/>
        <w:numPr>
          <w:ilvl w:val="0"/>
          <w:numId w:val="1005"/>
        </w:numPr>
      </w:pPr>
      <w:r>
        <w:rPr>
          <w:b/>
          <w:bCs/>
        </w:rPr>
        <w:t xml:space="preserve">McDonald, J. &amp; Wolfe, R. (2008).</w:t>
      </w:r>
      <w:r>
        <w:t xml:space="preserve"> </w:t>
      </w:r>
      <w:r>
        <w:t xml:space="preserve">“Using computer graphics to foster interdisciplinary collaboration in capstone courses.”</w:t>
      </w:r>
      <w:r>
        <w:t xml:space="preserve"> </w:t>
      </w:r>
      <w:r>
        <w:rPr>
          <w:i/>
          <w:iCs/>
        </w:rPr>
        <w:t xml:space="preserve">Journal of Computing Sciences in Colleges</w:t>
      </w:r>
      <w:r>
        <w:t xml:space="preserve"> </w:t>
      </w:r>
      <w:r>
        <w:t xml:space="preserve">24(1):83–90 (DePaul). The course became foundational for DePaul’s CS+Animation BS, with explicit alignment to industry teamwork expectations.</w:t>
      </w:r>
    </w:p>
    <w:p>
      <w:pPr>
        <w:pStyle w:val="Compact"/>
        <w:numPr>
          <w:ilvl w:val="0"/>
          <w:numId w:val="1005"/>
        </w:numPr>
      </w:pPr>
      <w:r>
        <w:rPr>
          <w:b/>
          <w:bCs/>
        </w:rPr>
        <w:t xml:space="preserve">Martin, F., Greher, G., Heines, J., Jeffers, J., Kim, H. J., Kuhn, S., Roehr, K., Selleck, N., Silka, L., &amp; Yanco, H. (2009).</w:t>
      </w:r>
      <w:r>
        <w:t xml:space="preserve"> </w:t>
      </w:r>
      <w:r>
        <w:t xml:space="preserve">“Joining Computing and the Arts at a Mid-Size University.”</w:t>
      </w:r>
      <w:r>
        <w:t xml:space="preserve"> </w:t>
      </w:r>
      <w:r>
        <w:rPr>
          <w:i/>
          <w:iCs/>
        </w:rPr>
        <w:t xml:space="preserve">Journal of Computing Sciences in Colleges</w:t>
      </w:r>
      <w:r>
        <w:t xml:space="preserve"> </w:t>
      </w:r>
      <w:r>
        <w:t xml:space="preserve">24(6):87–94 — multi-course findings from the NSF CPATH-funded Performamatics initiative at UMass Lowell.</w:t>
      </w:r>
    </w:p>
    <w:p>
      <w:pPr>
        <w:pStyle w:val="Compact"/>
        <w:numPr>
          <w:ilvl w:val="0"/>
          <w:numId w:val="1005"/>
        </w:numPr>
      </w:pPr>
      <w:r>
        <w:rPr>
          <w:b/>
          <w:bCs/>
        </w:rPr>
        <w:t xml:space="preserve">Heines, J. M., Greher, G. R., &amp; Kuhn, S. (2009).</w:t>
      </w:r>
      <w:r>
        <w:t xml:space="preserve"> </w:t>
      </w:r>
      <w:r>
        <w:t xml:space="preserve">“Music Performamatics: Interdisciplinary Interaction.”</w:t>
      </w:r>
      <w:r>
        <w:t xml:space="preserve"> </w:t>
      </w:r>
      <w:r>
        <w:t xml:space="preserve">SIGCSE ’09, DOI 10.1145/1508865.1509029 — found that the integration of music and CS</w:t>
      </w:r>
      <w:r>
        <w:t xml:space="preserve"> </w:t>
      </w:r>
      <w:r>
        <w:t xml:space="preserve">“enhanced students’ appreciation, motivation, and engagement in the learning process.”</w:t>
      </w:r>
    </w:p>
    <w:p>
      <w:pPr>
        <w:pStyle w:val="Compact"/>
        <w:numPr>
          <w:ilvl w:val="0"/>
          <w:numId w:val="1005"/>
        </w:numPr>
      </w:pPr>
      <w:r>
        <w:rPr>
          <w:b/>
          <w:bCs/>
        </w:rPr>
        <w:t xml:space="preserve">Hutter, L., Lawrence, H. M., McDaniel, M., &amp; Murrell, M. (2018).</w:t>
      </w:r>
      <w:r>
        <w:t xml:space="preserve"> </w:t>
      </w:r>
      <w:r>
        <w:t xml:space="preserve">“Fostering Meaningful Collaboration in an Interdisciplinary Capstone Course.”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“sum of all the disciplinary parts”</w:t>
      </w:r>
      <w:r>
        <w:t xml:space="preserve"> </w:t>
      </w:r>
      <w:r>
        <w:t xml:space="preserve">approach unfavorably against true integration</w:t>
      </w:r>
      <w:r>
        <w:t xml:space="preserve"> </w:t>
      </w:r>
      <w:r>
        <w:t xml:space="preserve">“from the inside out, resulting in the exchange of differing opinions and varying backgrounds of work and style and a smoother end product.”</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11"/>
    <w:bookmarkStart w:id="12"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pStyle w:val="Compact"/>
        <w:numPr>
          <w:ilvl w:val="0"/>
          <w:numId w:val="1006"/>
        </w:numPr>
      </w:pPr>
      <w:r>
        <w:rPr>
          <w:b/>
          <w:bCs/>
        </w:rPr>
        <w:t xml:space="preserve">Nielsen Norman Group — Gordon, K.</w:t>
      </w:r>
      <w:r>
        <w:t xml:space="preserve"> </w:t>
      </w:r>
      <w:r>
        <w:t xml:space="preserve">“Creating Design Specs for Development”</w:t>
      </w:r>
      <w:r>
        <w:t xml:space="preserve"> </w:t>
      </w:r>
      <w:r>
        <w:t xml:space="preserve">(NN/g, June 20, 2025): specs</w:t>
      </w:r>
      <w:r>
        <w:t xml:space="preserve"> </w:t>
      </w:r>
      <w:r>
        <w:t xml:space="preserve">“provide all relevant information needed to align the design and development teams.”</w:t>
      </w:r>
      <w:r>
        <w:t xml:space="preserve"> </w:t>
      </w:r>
      <w:r>
        <w:t xml:space="preserve">Article frames the development ticket as</w:t>
      </w:r>
      <w:r>
        <w:t xml:space="preserve"> </w:t>
      </w:r>
      <w:r>
        <w:t xml:space="preserve">“a</w:t>
      </w:r>
      <w:r>
        <w:t xml:space="preserve"> </w:t>
      </w:r>
      <w:r>
        <w:t xml:space="preserve">‘contract’</w:t>
      </w:r>
      <w:r>
        <w:t xml:space="preserve"> </w:t>
      </w:r>
      <w:r>
        <w:t xml:space="preserve">between the dev and design teams. What is outlined in the issue is what the developer is on the hook for delivering.”</w:t>
      </w:r>
    </w:p>
    <w:p>
      <w:pPr>
        <w:pStyle w:val="Compact"/>
        <w:numPr>
          <w:ilvl w:val="0"/>
          <w:numId w:val="1006"/>
        </w:numPr>
      </w:pPr>
      <w:r>
        <w:rPr>
          <w:b/>
          <w:bCs/>
        </w:rPr>
        <w:t xml:space="preserve">NN/g — Use Good Prototype Specifications to Empower Team Collaboration</w:t>
      </w:r>
      <w:r>
        <w:t xml:space="preserve">:</w:t>
      </w:r>
      <w:r>
        <w:t xml:space="preserve"> </w:t>
      </w:r>
      <w:r>
        <w:t xml:space="preserve">“Clear prototype specifications empower team collaboration and lower communication costs.”</w:t>
      </w:r>
    </w:p>
    <w:p>
      <w:pPr>
        <w:pStyle w:val="Compact"/>
        <w:numPr>
          <w:ilvl w:val="0"/>
          <w:numId w:val="1006"/>
        </w:numPr>
      </w:pPr>
      <w:r>
        <w:rPr>
          <w:b/>
          <w:bCs/>
        </w:rPr>
        <w:t xml:space="preserve">NN/g — Gibbons, S.</w:t>
      </w:r>
      <w:r>
        <w:t xml:space="preserve"> </w:t>
      </w:r>
      <w:r>
        <w:t xml:space="preserve">“Building Strong Designer-Developer Relationships”</w:t>
      </w:r>
      <w:r>
        <w:t xml:space="preserve">: designers and developers as</w:t>
      </w:r>
      <w:r>
        <w:t xml:space="preserve"> </w:t>
      </w:r>
      <w:r>
        <w:t xml:space="preserve">“co-owners of the product experience.”</w:t>
      </w:r>
    </w:p>
    <w:p>
      <w:pPr>
        <w:pStyle w:val="Compact"/>
        <w:numPr>
          <w:ilvl w:val="0"/>
          <w:numId w:val="1006"/>
        </w:numPr>
      </w:pPr>
      <w:r>
        <w:rPr>
          <w:b/>
          <w:bCs/>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pStyle w:val="Compact"/>
        <w:numPr>
          <w:ilvl w:val="0"/>
          <w:numId w:val="1006"/>
        </w:numPr>
      </w:pPr>
      <w:r>
        <w:rPr>
          <w:b/>
          <w:bCs/>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“15% error reduction from structured inputs”</w:t>
      </w:r>
      <w:r>
        <w:t xml:space="preserve">; use as illustrative.</w:t>
      </w:r>
    </w:p>
    <w:p>
      <w:pPr>
        <w:pStyle w:val="FirstParagraph"/>
      </w:pPr>
      <w:r>
        <w:rPr>
          <w:b/>
          <w:bCs/>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“over-the-wall”</w:t>
      </w:r>
      <w:r>
        <w:t xml:space="preserve"> </w:t>
      </w:r>
      <w:r>
        <w:t xml:space="preserve">sequencing) are exactly the failure modes the rubric should penalize.</w:t>
      </w:r>
    </w:p>
    <w:bookmarkEnd w:id="12"/>
    <w:bookmarkStart w:id="13"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“regular touch points, such as sprint reviews or daily stand-ups,”</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13"/>
    <w:bookmarkStart w:id="14" w:name="scrumagile-in-educational-settings"/>
    <w:p>
      <w:pPr>
        <w:pStyle w:val="Heading3"/>
      </w:pPr>
      <w:r>
        <w:t xml:space="preserve">4. Scrum/agile in educational settings</w:t>
      </w:r>
    </w:p>
    <w:p>
      <w:pPr>
        <w:pStyle w:val="Compact"/>
        <w:numPr>
          <w:ilvl w:val="0"/>
          <w:numId w:val="1007"/>
        </w:numPr>
      </w:pPr>
      <w:r>
        <w:rPr>
          <w:b/>
          <w:bCs/>
        </w:rPr>
        <w:t xml:space="preserve">Mahnič, V. (2012).</w:t>
      </w:r>
      <w:r>
        <w:t xml:space="preserve"> </w:t>
      </w:r>
      <w:r>
        <w:t xml:space="preserve">“A Capstone Course on Agile Software Development Using Scrum.”</w:t>
      </w:r>
      <w:r>
        <w:t xml:space="preserve"> </w:t>
      </w:r>
      <w:r>
        <w:rPr>
          <w:i/>
          <w:iCs/>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pStyle w:val="Compact"/>
        <w:numPr>
          <w:ilvl w:val="0"/>
          <w:numId w:val="1007"/>
        </w:numPr>
      </w:pPr>
      <w:r>
        <w:rPr>
          <w:b/>
          <w:bCs/>
        </w:rPr>
        <w:t xml:space="preserve">Matthies, C. (2018).</w:t>
      </w:r>
      <w:r>
        <w:t xml:space="preserve"> </w:t>
      </w:r>
      <w:r>
        <w:t xml:space="preserve">“Scrum2Kanban: Integrating Kanban and Scrum in a University Software Engineering Capstone Course.”</w:t>
      </w:r>
      <w:r>
        <w:t xml:space="preserve"> </w:t>
      </w:r>
      <w:r>
        <w:t xml:space="preserve">IEEE/ACM SEEM ’18 (arXiv:1804.03412).</w:t>
      </w:r>
    </w:p>
    <w:p>
      <w:pPr>
        <w:pStyle w:val="Compact"/>
        <w:numPr>
          <w:ilvl w:val="0"/>
          <w:numId w:val="1007"/>
        </w:numPr>
      </w:pPr>
      <w:r>
        <w:rPr>
          <w:b/>
          <w:bCs/>
        </w:rPr>
        <w:t xml:space="preserve">TechFAR Hub / U.S. Digital Service</w:t>
      </w:r>
      <w:r>
        <w:t xml:space="preserve"> </w:t>
      </w:r>
      <w:r>
        <w:t xml:space="preserve">(federal agile-team guidance):</w:t>
      </w:r>
      <w:r>
        <w:t xml:space="preserve"> </w:t>
      </w:r>
      <w:r>
        <w:t xml:space="preserve">“developers and tester roles should be cross functional individuals who are able to work either position”</w:t>
      </w:r>
      <w:r>
        <w:t xml:space="preserve"> </w:t>
      </w:r>
      <w:r>
        <w:t xml:space="preserve">— institutional confirmation that government and industry teams now expect this skill set.</w:t>
      </w:r>
    </w:p>
    <w:p>
      <w:pPr>
        <w:pStyle w:val="FirstParagraph"/>
      </w:pPr>
      <w:r>
        <w:rPr>
          <w:b/>
          <w:bCs/>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14"/>
    <w:bookmarkStart w:id="15"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
          <w:iCs/>
        </w:rPr>
        <w:t xml:space="preserve">Educational Research Review</w:t>
      </w:r>
      <w:r>
        <w:t xml:space="preserve"> </w:t>
      </w:r>
      <w:r>
        <w:t xml:space="preserve">2(2):130–144; Panadero et al. 2024 meta-analysis,</w:t>
      </w:r>
      <w:r>
        <w:t xml:space="preserve"> </w:t>
      </w:r>
      <w:r>
        <w:rPr>
          <w:i/>
          <w:iCs/>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“one person carries the load”</w:t>
      </w:r>
      <w:r>
        <w:t xml:space="preserve"> </w:t>
      </w:r>
      <w:r>
        <w:t xml:space="preserve">failure mode that NACE-aligned career-readiness commentary (Extern, 2025, citing NACE JO 2025) identifies as the dominant pathology of group projects.</w:t>
      </w:r>
    </w:p>
    <w:bookmarkEnd w:id="15"/>
    <w:bookmarkStart w:id="16" w:name="Xa899fbb2da90a02de5f63f9a03418777ed9b567"/>
    <w:p>
      <w:pPr>
        <w:pStyle w:val="Heading3"/>
      </w:pPr>
      <w:r>
        <w:t xml:space="preserve">6. T-shaped skills and cross-functional employability</w:t>
      </w:r>
    </w:p>
    <w:p>
      <w:pPr>
        <w:pStyle w:val="Compact"/>
        <w:numPr>
          <w:ilvl w:val="0"/>
          <w:numId w:val="1008"/>
        </w:numPr>
      </w:pPr>
      <w:r>
        <w:rPr>
          <w:b/>
          <w:bCs/>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pStyle w:val="Compact"/>
        <w:numPr>
          <w:ilvl w:val="0"/>
          <w:numId w:val="1008"/>
        </w:numPr>
      </w:pPr>
      <w:r>
        <w:rPr>
          <w:b/>
          <w:bCs/>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pStyle w:val="Compact"/>
        <w:numPr>
          <w:ilvl w:val="0"/>
          <w:numId w:val="1008"/>
        </w:numPr>
      </w:pPr>
      <w:r>
        <w:rPr>
          <w:b/>
          <w:bCs/>
        </w:rPr>
        <w:t xml:space="preserve">World Economic Forum,</w:t>
      </w:r>
      <w:r>
        <w:rPr>
          <w:b/>
          <w:bCs/>
        </w:rPr>
        <w:t xml:space="preserve"> </w:t>
      </w:r>
      <w:r>
        <w:rPr>
          <w:b/>
          <w:bCs/>
          <w:i/>
          <w:iCs/>
        </w:rPr>
        <w:t xml:space="preserve">Future of Jobs Report 2025</w:t>
      </w:r>
      <w:r>
        <w:t xml:space="preserve"> </w:t>
      </w:r>
      <w:r>
        <w:t xml:space="preserve">(Jan 2025):</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WEF:</w:t>
      </w:r>
      <w:r>
        <w:t xml:space="preserve"> </w:t>
      </w:r>
      <w:r>
        <w:t xml:space="preserve">“workers can expect that two-fifths (39%) of their existing skill sets will be transformed or become outdated over the 2025–2030 period.”</w:t>
      </w:r>
    </w:p>
    <w:p>
      <w:pPr>
        <w:pStyle w:val="Compact"/>
        <w:numPr>
          <w:ilvl w:val="0"/>
          <w:numId w:val="1008"/>
        </w:numPr>
      </w:pPr>
      <w:r>
        <w:rPr>
          <w:b/>
          <w:bCs/>
        </w:rPr>
        <w:t xml:space="preserve">Burning Glass / Lightcast (Sigelman),</w:t>
      </w:r>
      <w:r>
        <w:rPr>
          <w:b/>
          <w:bCs/>
        </w:rPr>
        <w:t xml:space="preserve"> </w:t>
      </w:r>
      <w:r>
        <w:rPr>
          <w:b/>
          <w:bCs/>
          <w:i/>
          <w:iCs/>
        </w:rPr>
        <w:t xml:space="preserve">The Hybrid Job Economy</w:t>
      </w:r>
      <w:r>
        <w:rPr>
          <w:b/>
          <w:bCs/>
        </w:rPr>
        <w:t xml:space="preserve"> </w:t>
      </w:r>
      <w:r>
        <w:rPr>
          <w:b/>
          <w:bCs/>
        </w:rPr>
        <w:t xml:space="preserve">(2019)</w:t>
      </w:r>
      <w:r>
        <w:t xml:space="preserve">:</w:t>
      </w:r>
      <w:r>
        <w:t xml:space="preserve"> </w:t>
      </w:r>
      <w:r>
        <w:t xml:space="preserve">“the most highly hybridized jobs are about three and a half times more likely to value creativity skills, about twice as likely to value collaboration skills”</w:t>
      </w:r>
      <w:r>
        <w:t xml:space="preserve">; hybrid roles grow at ~2× the rate of the overall job market and pay 20–40% more.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p>
    <w:p>
      <w:pPr>
        <w:pStyle w:val="Compact"/>
        <w:numPr>
          <w:ilvl w:val="0"/>
          <w:numId w:val="1008"/>
        </w:numPr>
      </w:pPr>
      <w:r>
        <w:rPr>
          <w:b/>
          <w:bCs/>
        </w:rPr>
        <w:t xml:space="preserve">IDEO / Tim Brown</w:t>
      </w:r>
      <w:r>
        <w:t xml:space="preserve"> </w:t>
      </w:r>
      <w:r>
        <w:t xml:space="preserve">(Chief Executive interview, 2010): the T-shape requires both</w:t>
      </w:r>
      <w:r>
        <w:t xml:space="preserve"> </w:t>
      </w:r>
      <w:r>
        <w:t xml:space="preserve">“a depth of skill that allows them to contribute to the creative process”</w:t>
      </w:r>
      <w:r>
        <w:t xml:space="preserve"> </w:t>
      </w:r>
      <w:r>
        <w:t xml:space="preserve">and</w:t>
      </w:r>
      <w:r>
        <w:t xml:space="preserve"> </w:t>
      </w:r>
      <w:r>
        <w:t xml:space="preserve">“the disposition for collaboration across disciplines.”</w:t>
      </w:r>
    </w:p>
    <w:bookmarkEnd w:id="16"/>
    <w:bookmarkStart w:id="17" w:name="Xab04204e9c5035f06a7655023dbe3f87fce478f"/>
    <w:p>
      <w:pPr>
        <w:pStyle w:val="Heading3"/>
      </w:pPr>
      <w:r>
        <w:t xml:space="preserve">7. Design–development integration in professional software teams</w:t>
      </w:r>
    </w:p>
    <w:p>
      <w:pPr>
        <w:pStyle w:val="Compact"/>
        <w:numPr>
          <w:ilvl w:val="0"/>
          <w:numId w:val="1009"/>
        </w:numPr>
      </w:pPr>
      <w:r>
        <w:rPr>
          <w:b/>
          <w:bCs/>
        </w:rPr>
        <w:t xml:space="preserve">Google Ventures Design Sprint</w:t>
      </w:r>
      <w:r>
        <w:t xml:space="preserve"> </w:t>
      </w:r>
      <w:r>
        <w:t xml:space="preserve">(Knapp, 2010;</w:t>
      </w:r>
      <w:r>
        <w:t xml:space="preserve"> </w:t>
      </w:r>
      <w:r>
        <w:rPr>
          <w:i/>
          <w:iCs/>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pStyle w:val="Compact"/>
        <w:numPr>
          <w:ilvl w:val="0"/>
          <w:numId w:val="1009"/>
        </w:numPr>
      </w:pPr>
      <w:r>
        <w:rPr>
          <w:b/>
          <w:bCs/>
        </w:rPr>
        <w:t xml:space="preserve">Scrum Alliance</w:t>
      </w:r>
      <w:r>
        <w:t xml:space="preserve"> </w:t>
      </w:r>
      <w:r>
        <w:t xml:space="preserve">(cross-functional team glossary):</w:t>
      </w:r>
      <w:r>
        <w:t xml:space="preserve"> </w:t>
      </w:r>
      <w:r>
        <w:t xml:space="preserve">“Cross-functional team members can include developers, testers, designers, and any other roles required to achieve the sprint goal.”</w:t>
      </w:r>
    </w:p>
    <w:p>
      <w:pPr>
        <w:pStyle w:val="Compact"/>
        <w:numPr>
          <w:ilvl w:val="0"/>
          <w:numId w:val="1009"/>
        </w:numPr>
      </w:pPr>
      <w:r>
        <w:rPr>
          <w:b/>
          <w:bCs/>
        </w:rPr>
        <w:t xml:space="preserve">Agile Alliance</w:t>
      </w:r>
      <w:r>
        <w:t xml:space="preserve"> </w:t>
      </w:r>
      <w:r>
        <w:t xml:space="preserve">(McDonald,</w:t>
      </w:r>
      <w:r>
        <w:t xml:space="preserve"> </w:t>
      </w:r>
      <w:r>
        <w:t xml:space="preserve">“What is a Self-Organizing, Cross-Functional Team?”</w:t>
      </w:r>
      <w:r>
        <w:t xml:space="preserve">): cross-functional team composition is a defining feature of post–Agile Manifesto frameworks.</w:t>
      </w:r>
    </w:p>
    <w:p>
      <w:pPr>
        <w:pStyle w:val="Compact"/>
        <w:numPr>
          <w:ilvl w:val="0"/>
          <w:numId w:val="1009"/>
        </w:numPr>
      </w:pPr>
      <w:r>
        <w:rPr>
          <w:b/>
          <w:bCs/>
        </w:rPr>
        <w:t xml:space="preserve">NN/g</w:t>
      </w:r>
      <w:r>
        <w:t xml:space="preserve"> </w:t>
      </w:r>
      <w:r>
        <w:t xml:space="preserve">(</w:t>
      </w:r>
      <w:r>
        <w:t xml:space="preserve">“Redefine Your Design Skills to Prepare for AI,”</w:t>
      </w:r>
      <w:r>
        <w:t xml:space="preserve"> </w:t>
      </w:r>
      <w:r>
        <w:t xml:space="preserve">2024) forecasts that</w:t>
      </w:r>
      <w:r>
        <w:t xml:space="preserve"> </w:t>
      </w:r>
      <w:r>
        <w:t xml:space="preserve">“AI-powered tools will extend teams’ capabilities beyond traditional boundaries. Designers will do data analysis, developers will craft UIs, and analysts will write code”</w:t>
      </w:r>
      <w:r>
        <w:t xml:space="preserve"> </w:t>
      </w:r>
      <w:r>
        <w:t xml:space="preserve">— reinforcing the strategic value of cross-functional fluency.</w:t>
      </w:r>
    </w:p>
    <w:bookmarkEnd w:id="17"/>
    <w:bookmarkStart w:id="18" w:name="X7ba63fd5f9e9172016593270131710b6d02614f"/>
    <w:p>
      <w:pPr>
        <w:pStyle w:val="Heading3"/>
      </w:pPr>
      <w:r>
        <w:t xml:space="preserve">8. Institutional and accreditation alignment</w:t>
      </w:r>
    </w:p>
    <w:p>
      <w:pPr>
        <w:pStyle w:val="Compact"/>
        <w:numPr>
          <w:ilvl w:val="0"/>
          <w:numId w:val="1010"/>
        </w:numPr>
      </w:pPr>
      <w:r>
        <w:rPr>
          <w:b/>
          <w:bCs/>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pStyle w:val="Compact"/>
        <w:numPr>
          <w:ilvl w:val="0"/>
          <w:numId w:val="1010"/>
        </w:numPr>
      </w:pPr>
      <w:r>
        <w:rPr>
          <w:b/>
          <w:bCs/>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“interdisciplinary learning opportunities, such as collaboration between different departments or fields of study, to reflect the integrated nature of many modern”</w:t>
      </w:r>
      <w:r>
        <w:t xml:space="preserve"> </w:t>
      </w:r>
      <w:r>
        <w:t xml:space="preserve">workplaces, and to use</w:t>
      </w:r>
      <w:r>
        <w:t xml:space="preserve"> </w:t>
      </w:r>
      <w:r>
        <w:t xml:space="preserve">“performance-based assessments (e.g., portfolios, simulations, capstone projects).”</w:t>
      </w:r>
    </w:p>
    <w:p>
      <w:pPr>
        <w:pStyle w:val="Compact"/>
        <w:numPr>
          <w:ilvl w:val="0"/>
          <w:numId w:val="1010"/>
        </w:numPr>
      </w:pPr>
      <w:r>
        <w:rPr>
          <w:b/>
          <w:bCs/>
        </w:rPr>
        <w:t xml:space="preserve">Center for American Progress</w:t>
      </w:r>
      <w:r>
        <w:t xml:space="preserve"> </w:t>
      </w:r>
      <w:r>
        <w:t xml:space="preserve">(</w:t>
      </w:r>
      <w:r>
        <w:t xml:space="preserve">“5 Ways Community Colleges Drive Workforce Development,”</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18"/>
    <w:bookmarkEnd w:id="19"/>
    <w:bookmarkStart w:id="20" w:name="recommendations"/>
    <w:p>
      <w:pPr>
        <w:pStyle w:val="Heading2"/>
      </w:pPr>
      <w:r>
        <w:t xml:space="preserve">Recommendations</w:t>
      </w:r>
    </w:p>
    <w:p>
      <w:pPr>
        <w:pStyle w:val="Compact"/>
        <w:numPr>
          <w:ilvl w:val="0"/>
          <w:numId w:val="1011"/>
        </w:numPr>
      </w:pPr>
      <w:r>
        <w:rPr>
          <w:b/>
          <w:bCs/>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
          <w:iCs/>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pStyle w:val="Compact"/>
        <w:numPr>
          <w:ilvl w:val="0"/>
          <w:numId w:val="1011"/>
        </w:numPr>
      </w:pPr>
      <w:r>
        <w:rPr>
          <w:b/>
          <w:bCs/>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pStyle w:val="Compact"/>
        <w:numPr>
          <w:ilvl w:val="0"/>
          <w:numId w:val="1011"/>
        </w:numPr>
      </w:pPr>
      <w:r>
        <w:rPr>
          <w:b/>
          <w:bCs/>
        </w:rPr>
        <w:t xml:space="preserve">Adopt the Nielsen Norman Group spec/handoff vocabulary in the syllabus and rubric</w:t>
      </w:r>
      <w:r>
        <w:t xml:space="preserve"> </w:t>
      </w:r>
      <w:r>
        <w:t xml:space="preserve">(</w:t>
      </w:r>
      <w:r>
        <w:t xml:space="preserve">“design specifications,”</w:t>
      </w:r>
      <w:r>
        <w:t xml:space="preserve"> </w:t>
      </w:r>
      <w:r>
        <w:t xml:space="preserve">“developer handoff,”</w:t>
      </w:r>
      <w:r>
        <w:t xml:space="preserve"> </w:t>
      </w:r>
      <w:r>
        <w:t xml:space="preserve">“design as contract,”</w:t>
      </w:r>
      <w:r>
        <w:t xml:space="preserve"> </w:t>
      </w:r>
      <w:r>
        <w:t xml:space="preserve">“design specs provide all relevant information needed to align the design and development teams”</w:t>
      </w:r>
      <w:r>
        <w:t xml:space="preserve">). This costs nothing pedagogically and produces graduates who can read job descriptions and team documentation in the language employers use.</w:t>
      </w:r>
    </w:p>
    <w:p>
      <w:pPr>
        <w:pStyle w:val="Compact"/>
        <w:numPr>
          <w:ilvl w:val="0"/>
          <w:numId w:val="1011"/>
        </w:numPr>
      </w:pPr>
      <w:r>
        <w:rPr>
          <w:b/>
          <w:bCs/>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pStyle w:val="Compact"/>
        <w:numPr>
          <w:ilvl w:val="0"/>
          <w:numId w:val="1011"/>
        </w:numPr>
      </w:pPr>
      <w:r>
        <w:rPr>
          <w:b/>
          <w:bCs/>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pStyle w:val="Compact"/>
        <w:numPr>
          <w:ilvl w:val="0"/>
          <w:numId w:val="1011"/>
        </w:numPr>
      </w:pPr>
      <w:r>
        <w:rPr>
          <w:b/>
          <w:bCs/>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pStyle w:val="Compact"/>
        <w:numPr>
          <w:ilvl w:val="0"/>
          <w:numId w:val="1011"/>
        </w:numPr>
      </w:pPr>
      <w:r>
        <w:rPr>
          <w:b/>
          <w:bCs/>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20"/>
    <w:bookmarkStart w:id="21" w:name="caveats"/>
    <w:p>
      <w:pPr>
        <w:pStyle w:val="Heading2"/>
      </w:pPr>
      <w:r>
        <w:t xml:space="preserve">Caveats</w:t>
      </w:r>
    </w:p>
    <w:p>
      <w:pPr>
        <w:pStyle w:val="Compact"/>
        <w:numPr>
          <w:ilvl w:val="0"/>
          <w:numId w:val="1012"/>
        </w:numPr>
      </w:pPr>
      <w:r>
        <w:rPr>
          <w:b/>
          <w:bCs/>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
          <w:iCs/>
        </w:rPr>
        <w:t xml:space="preserve">Journal of Engineering Education</w:t>
      </w:r>
      <w:r>
        <w:t xml:space="preserve">) and the IEEE</w:t>
      </w:r>
      <w:r>
        <w:t xml:space="preserve"> </w:t>
      </w:r>
      <w:r>
        <w:rPr>
          <w:i/>
          <w:iCs/>
        </w:rPr>
        <w:t xml:space="preserve">Transactions on Education</w:t>
      </w:r>
      <w:r>
        <w:t xml:space="preserve"> </w:t>
      </w:r>
      <w:r>
        <w:t xml:space="preserve">PjBL special issue. Frame the evidence as a convergent best-practice consensus rather than a randomized causal claim.</w:t>
      </w:r>
    </w:p>
    <w:p>
      <w:pPr>
        <w:pStyle w:val="Compact"/>
        <w:numPr>
          <w:ilvl w:val="0"/>
          <w:numId w:val="1012"/>
        </w:numPr>
      </w:pPr>
      <w:r>
        <w:rPr>
          <w:b/>
          <w:bCs/>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pStyle w:val="Compact"/>
        <w:numPr>
          <w:ilvl w:val="0"/>
          <w:numId w:val="1012"/>
        </w:numPr>
      </w:pPr>
      <w:r>
        <w:rPr>
          <w:b/>
          <w:bCs/>
        </w:rPr>
        <w:t xml:space="preserve">Some practitioner numbers are not from peer-reviewed studies</w:t>
      </w:r>
      <w:r>
        <w:t xml:space="preserve"> </w:t>
      </w:r>
      <w:r>
        <w:t xml:space="preserve">(e.g., monday.com’s</w:t>
      </w:r>
      <w:r>
        <w:t xml:space="preserve"> </w:t>
      </w:r>
      <w:r>
        <w:t xml:space="preserve">“15% error reduction from structured inputs”</w:t>
      </w:r>
      <w:r>
        <w:t xml:space="preserve">; Miro’s</w:t>
      </w:r>
      <w:r>
        <w:t xml:space="preserve"> </w:t>
      </w:r>
      <w:r>
        <w:t xml:space="preserve">“71% of leaders report tool-switching friction”</w:t>
      </w:r>
      <w:r>
        <w:t xml:space="preserve">). Use them as illustrative industry consensus, not empirical findings.</w:t>
      </w:r>
    </w:p>
    <w:p>
      <w:pPr>
        <w:pStyle w:val="Compact"/>
        <w:numPr>
          <w:ilvl w:val="0"/>
          <w:numId w:val="1012"/>
        </w:numPr>
      </w:pPr>
      <w:r>
        <w:rPr>
          <w:b/>
          <w:bCs/>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pStyle w:val="Compact"/>
        <w:numPr>
          <w:ilvl w:val="0"/>
          <w:numId w:val="1012"/>
        </w:numPr>
      </w:pPr>
      <w:r>
        <w:rPr>
          <w:b/>
          <w:bCs/>
        </w:rPr>
        <w:t xml:space="preserve">WEF</w:t>
      </w:r>
      <w:r>
        <w:rPr>
          <w:b/>
          <w:bCs/>
        </w:rPr>
        <w:t xml:space="preserve"> </w:t>
      </w:r>
      <w:r>
        <w:rPr>
          <w:b/>
          <w:bCs/>
          <w:i/>
          <w:iCs/>
        </w:rPr>
        <w:t xml:space="preserve">Future of Jobs Report 2025</w:t>
      </w:r>
      <w:r>
        <w:rPr>
          <w:b/>
          <w:bCs/>
        </w:rPr>
        <w:t xml:space="preserve"> </w:t>
      </w:r>
      <w:r>
        <w:rPr>
          <w:b/>
          <w:bCs/>
        </w:rPr>
        <w:t xml:space="preserve">figures are employer forecasts</w:t>
      </w:r>
      <w:r>
        <w:t xml:space="preserve"> </w:t>
      </w:r>
      <w:r>
        <w:t xml:space="preserve">(</w:t>
      </w:r>
      <w:r>
        <w:t xml:space="preserve">“by 2030”</w:t>
      </w:r>
      <w:r>
        <w:t xml:space="preserve">), aggregated from self-report by &gt;1,000 employers — not measured workforce outcomes.</w:t>
      </w:r>
    </w:p>
    <w:p>
      <w:pPr>
        <w:pStyle w:val="Compact"/>
        <w:numPr>
          <w:ilvl w:val="0"/>
          <w:numId w:val="1012"/>
        </w:numPr>
      </w:pPr>
      <w:r>
        <w:rPr>
          <w:b/>
          <w:bCs/>
        </w:rPr>
        <w:t xml:space="preserve">The Burning Glass / Lightcast</w:t>
      </w:r>
      <w:r>
        <w:rPr>
          <w:b/>
          <w:bCs/>
        </w:rPr>
        <w:t xml:space="preserve"> </w:t>
      </w:r>
      <w:r>
        <w:rPr>
          <w:b/>
          <w:bCs/>
        </w:rPr>
        <w:t xml:space="preserve">“hybrid jobs”</w:t>
      </w:r>
      <w:r>
        <w:rPr>
          <w:b/>
          <w:bCs/>
        </w:rPr>
        <w:t xml:space="preserve"> </w:t>
      </w:r>
      <w:r>
        <w:rPr>
          <w:b/>
          <w:bCs/>
        </w:rPr>
        <w:t xml:space="preserve">research is the work of a single private analytics firm</w:t>
      </w:r>
      <w:r>
        <w:t xml:space="preserve">, and the most-quoted figures derive from its 2019</w:t>
      </w:r>
      <w:r>
        <w:t xml:space="preserve"> </w:t>
      </w:r>
      <w:r>
        <w:rPr>
          <w:i/>
          <w:iCs/>
        </w:rPr>
        <w:t xml:space="preserve">Hybrid Job Economy</w:t>
      </w:r>
      <w:r>
        <w:t xml:space="preserve"> </w:t>
      </w:r>
      <w:r>
        <w:t xml:space="preserve">report; verify currency before citing in any formal accreditation document.</w:t>
      </w:r>
    </w:p>
    <w:p>
      <w:pPr>
        <w:pStyle w:val="Compact"/>
        <w:numPr>
          <w:ilvl w:val="0"/>
          <w:numId w:val="1012"/>
        </w:numPr>
      </w:pPr>
      <w:r>
        <w:rPr>
          <w:b/>
          <w:bCs/>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2026-05-22T21:18:30Z</dcterms:created>
  <dcterms:modified xsi:type="dcterms:W3CDTF">2026-05-22T21:18:30Z</dcterms:modified>
</cp:coreProperties>
</file>

<file path=docProps/custom.xml><?xml version="1.0" encoding="utf-8"?>
<Properties xmlns="http://schemas.openxmlformats.org/officeDocument/2006/custom-properties" xmlns:vt="http://schemas.openxmlformats.org/officeDocument/2006/docPropsVTypes"/>
</file>