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introduction"/>
    <w:p>
      <w:pPr>
        <w:pStyle w:val="Heading1"/>
      </w:pPr>
      <w:r>
        <w:t xml:space="preserve">Introduction</w:t>
      </w:r>
    </w:p>
    <w:p>
      <w:pPr>
        <w:pStyle w:val="FirstParagraph"/>
      </w:pPr>
      <w:r>
        <w:rPr>
          <w:b/>
          <w:bCs/>
        </w:rPr>
        <w:t xml:space="preserve">Spring 2026 Performance Review · Binder Front Matter</w:t>
      </w:r>
      <w:r>
        <w:t xml:space="preserve"> </w:t>
      </w:r>
      <w:r>
        <w:rPr>
          <w:b/>
          <w:bCs/>
        </w:rPr>
        <w:t xml:space="preserve">Instructor:</w:t>
      </w:r>
      <w:r>
        <w:t xml:space="preserve"> </w:t>
      </w:r>
      <w:r>
        <w:t xml:space="preserve">[REDACTED]</w:t>
      </w:r>
      <w:r>
        <w:t xml:space="preserve"> </w:t>
      </w:r>
      <w:r>
        <w:rPr>
          <w:b/>
          <w:bCs/>
        </w:rPr>
        <w:t xml:space="preserve">Program:</w:t>
      </w:r>
      <w:r>
        <w:t xml:space="preserve"> </w:t>
      </w:r>
      <w:r>
        <w:t xml:space="preserve">CSC 289 (Software Development Capstone) · CTS 285 (Web Application Development) · CPD Tools Group</w:t>
      </w:r>
      <w:r>
        <w:t xml:space="preserve"> </w:t>
      </w:r>
      <w:r>
        <w:rPr>
          <w:b/>
          <w:bCs/>
        </w:rPr>
        <w:t xml:space="preserve">Review Period:</w:t>
      </w:r>
      <w:r>
        <w:t xml:space="preserve"> </w:t>
      </w:r>
      <w:r>
        <w:t xml:space="preserve">Spring 2026</w:t>
      </w:r>
    </w:p>
    <w:p>
      <w:r>
        <w:pict>
          <v:rect style="width:0;height:1.5pt" o:hralign="center" o:hrstd="t" o:hr="t"/>
        </w:pict>
      </w:r>
    </w:p>
    <w:bookmarkStart w:id="9" w:name="what-this-binder-documents"/>
    <w:p>
      <w:pPr>
        <w:pStyle w:val="Heading2"/>
      </w:pPr>
      <w:r>
        <w:t xml:space="preserve">What This Binder Documents</w:t>
      </w:r>
    </w:p>
    <w:p>
      <w:pPr>
        <w:pStyle w:val="FirstParagraph"/>
      </w:pPr>
      <w:r>
        <w:t xml:space="preserve">This binder documents three completed performance objectives undertaken during the Spring 2026 review period — and a fourth objective that was not, strictly speaking, assigned. The three formal objectives are discrete deliverables: a cross-departmental capstone framework, a four-module source-control curriculum, and a project-management contribution to a live institutional fraud-detection tool. They were specified in advance, completed on schedule, and assessed against criteria the reviewer can verify against the supporting artifacts.</w:t>
      </w:r>
    </w:p>
    <w:p>
      <w:pPr>
        <w:pStyle w:val="BodyText"/>
      </w:pPr>
      <w:r>
        <w:t xml:space="preserve">The fourth objective — labeled here as Objective Zero — is the design and construction of the instructional environment inside which the other three operate. It is documented last in the binder because it is the architecture, and architecture is most usefully read after the reader has held the finished rooms in hand.</w:t>
      </w:r>
    </w:p>
    <w:p>
      <w:pPr>
        <w:pStyle w:val="BodyText"/>
      </w:pPr>
      <w:r>
        <w:t xml:space="preserve">The binder is organized for two reading paths:</w:t>
      </w:r>
    </w:p>
    <w:p>
      <w:pPr>
        <w:pStyle w:val="Compact"/>
        <w:numPr>
          <w:ilvl w:val="0"/>
          <w:numId w:val="1001"/>
        </w:numPr>
      </w:pPr>
      <w:r>
        <w:rPr>
          <w:b/>
          <w:bCs/>
        </w:rPr>
        <w:t xml:space="preserve">The reviewer with time</w:t>
      </w:r>
      <w:r>
        <w:t xml:space="preserve"> </w:t>
      </w:r>
      <w:r>
        <w:t xml:space="preserve">reads it front-to-back: this Introduction, the Executive Summary, three objective chapters in order, then Objective Zero, then the supporting documentation appendix.</w:t>
      </w:r>
    </w:p>
    <w:p>
      <w:pPr>
        <w:pStyle w:val="Compact"/>
        <w:numPr>
          <w:ilvl w:val="0"/>
          <w:numId w:val="1001"/>
        </w:numPr>
      </w:pPr>
      <w:r>
        <w:rPr>
          <w:b/>
          <w:bCs/>
        </w:rPr>
        <w:t xml:space="preserve">The reviewer without time</w:t>
      </w:r>
      <w:r>
        <w:t xml:space="preserve"> </w:t>
      </w:r>
      <w:r>
        <w:t xml:space="preserve">reads the Executive Summary and stops. That summary is built to stand alone. The metrics, the per-objective synopses, and the bottom-line outcome statement are all there. The remainder of the binder is the evidence base for those claims, available when wanted.</w:t>
      </w:r>
    </w:p>
    <w:p>
      <w:pPr>
        <w:pStyle w:val="FirstParagraph"/>
      </w:pPr>
      <w:r>
        <w:t xml:space="preserve">Either path is legitimate. The binder was designed to reward both.</w:t>
      </w:r>
    </w:p>
    <w:p>
      <w:r>
        <w:pict>
          <v:rect style="width:0;height:1.5pt" o:hralign="center" o:hrstd="t" o:hr="t"/>
        </w:pict>
      </w:r>
    </w:p>
    <w:bookmarkEnd w:id="9"/>
    <w:bookmarkStart w:id="10" w:name="the-unifying-methodological-thread"/>
    <w:p>
      <w:pPr>
        <w:pStyle w:val="Heading2"/>
      </w:pPr>
      <w:r>
        <w:t xml:space="preserve">The Unifying Methodological Thread</w:t>
      </w:r>
    </w:p>
    <w:p>
      <w:pPr>
        <w:pStyle w:val="FirstParagraph"/>
      </w:pPr>
      <w:r>
        <w:t xml:space="preserve">A single design principle runs through every objective in this review, including the one that was never formally assigned:</w:t>
      </w:r>
      <w:r>
        <w:t xml:space="preserve"> </w:t>
      </w:r>
      <w:r>
        <w:rPr>
          <w:b/>
          <w:bCs/>
        </w:rPr>
        <w:t xml:space="preserve">measure rate of change, not absolute position.</w:t>
      </w:r>
    </w:p>
    <w:p>
      <w:pPr>
        <w:pStyle w:val="BodyText"/>
      </w:pPr>
      <w:r>
        <w:t xml:space="preserve">Standard performance assessment — for students, for instructors, for institutional initiatives — measures</w:t>
      </w:r>
      <w:r>
        <w:t xml:space="preserve"> </w:t>
      </w:r>
      <w:r>
        <w:rPr>
          <w:b/>
          <w:bCs/>
        </w:rPr>
        <w:t xml:space="preserve">y</w:t>
      </w:r>
      <w:r>
        <w:t xml:space="preserve">: where someone is on a scale at a given moment. The student who finishes the semester at the 65th percentile is graded above the one who finishes at the 50th. The course that produced a 4.2 average on the end-of-term survey is rated higher than the one that produced a 4.0. The instructor whose evaluation numbers improved a fraction over the prior year is rated essentially the same as the one whose numbers held flat.</w:t>
      </w:r>
    </w:p>
    <w:p>
      <w:pPr>
        <w:pStyle w:val="BodyText"/>
      </w:pPr>
      <w:r>
        <w:t xml:space="preserve">This is the wrong measurement.</w:t>
      </w:r>
    </w:p>
    <w:p>
      <w:pPr>
        <w:pStyle w:val="BodyText"/>
      </w:pPr>
      <w:r>
        <w:t xml:space="preserve">What matters in a community college serving the Research Triangle job market — and what matters to any employer screening recent graduates — is</w:t>
      </w:r>
      <w:r>
        <w:t xml:space="preserve"> </w:t>
      </w:r>
      <w:r>
        <w:rPr>
          <w:b/>
          <w:bCs/>
        </w:rPr>
        <w:t xml:space="preserve">dy/dx</w:t>
      </w:r>
      <w:r>
        <w:t xml:space="preserve">: the rate at which a person develops capability. A student who arrived at zero and finished at fifty has demonstrated something more consequential for a hiring manager than the student who arrived at sixty and finished at sixty-five: they will not stay where they started. Credentials measure y. Careers are built on dy/dx.</w:t>
      </w:r>
    </w:p>
    <w:p>
      <w:pPr>
        <w:pStyle w:val="BodyText"/>
      </w:pPr>
      <w:r>
        <w:t xml:space="preserve">The same logic applies one level up. A pedagogical framework that produces measurable iteration — students opening pull requests they would not previously have opened, design students sitting inside Scrum ceremonies they would not previously have attended, peer reviews that climb in quality over the term — is worth more than a curriculum that produces a higher single-point exam average and no observable change in behavior. The rubrics in this binder are constructed accordingly. They reward documented iteration over polished one-shot submission. They surface growth that absolute-position grading erases.</w:t>
      </w:r>
    </w:p>
    <w:p>
      <w:pPr>
        <w:pStyle w:val="BodyText"/>
      </w:pPr>
      <w:r>
        <w:t xml:space="preserve">This is not a metaphor. It is a rubric design specification, applied consistently across all three objectives and operationalized in the supporting infrastructure.</w:t>
      </w:r>
    </w:p>
    <w:p>
      <w:r>
        <w:pict>
          <v:rect style="width:0;height:1.5pt" o:hralign="center" o:hrstd="t" o:hr="t"/>
        </w:pict>
      </w:r>
    </w:p>
    <w:bookmarkEnd w:id="10"/>
    <w:bookmarkStart w:id="11" w:name="on-the-in-character-apparatus"/>
    <w:p>
      <w:pPr>
        <w:pStyle w:val="Heading2"/>
      </w:pPr>
      <w:r>
        <w:t xml:space="preserve">On the In-Character Apparatus</w:t>
      </w:r>
    </w:p>
    <w:p>
      <w:pPr>
        <w:pStyle w:val="FirstParagraph"/>
      </w:pPr>
      <w:r>
        <w:t xml:space="preserve">Several elements of this binder use in-character terminology drawn from AlgoCratic Futures — the satirical corporate-dystopia frame within which CSC 289 and CTS 285 are delivered. Readers will encounter the</w:t>
      </w:r>
      <w:r>
        <w:t xml:space="preserve"> </w:t>
      </w:r>
      <w:r>
        <w:rPr>
          <w:b/>
          <w:bCs/>
        </w:rPr>
        <w:t xml:space="preserve">Sacred Workflow</w:t>
      </w:r>
      <w:r>
        <w:t xml:space="preserve"> </w:t>
      </w:r>
      <w:r>
        <w:t xml:space="preserve">(the named, repeatable Git process students practice through capstone —</w:t>
      </w:r>
      <w:r>
        <w:t xml:space="preserve"> </w:t>
      </w:r>
      <w:r>
        <w:rPr>
          <w:rStyle w:val="VerbatimChar"/>
        </w:rPr>
        <w:t xml:space="preserve">Issue → Branch → Draft PR → Code &amp; Test → Finish PR → Review → Merge</w:t>
      </w:r>
      <w:r>
        <w:t xml:space="preserve">); the</w:t>
      </w:r>
      <w:r>
        <w:t xml:space="preserve"> </w:t>
      </w:r>
      <w:r>
        <w:rPr>
          <w:b/>
          <w:bCs/>
        </w:rPr>
        <w:t xml:space="preserve">clearance progression</w:t>
      </w:r>
      <w:r>
        <w:t xml:space="preserve"> </w:t>
      </w:r>
      <w:r>
        <w:t xml:space="preserve">(INFRARED → BLUE → INDIGO → VIOLET → ULTRAVIOLET, the in-world tiering system students traverse over the semester);</w:t>
      </w:r>
      <w:r>
        <w:t xml:space="preserve"> </w:t>
      </w:r>
      <w:r>
        <w:rPr>
          <w:b/>
          <w:bCs/>
        </w:rPr>
        <w:t xml:space="preserve">GRAY clearance</w:t>
      </w:r>
      <w:r>
        <w:t xml:space="preserve"> </w:t>
      </w:r>
      <w:r>
        <w:t xml:space="preserve">— an acronym for</w:t>
      </w:r>
      <w:r>
        <w:t xml:space="preserve"> </w:t>
      </w:r>
      <w:r>
        <w:rPr>
          <w:i/>
          <w:iCs/>
        </w:rPr>
        <w:t xml:space="preserve">Guidance, Review, Aesthetic Yield</w:t>
      </w:r>
      <w:r>
        <w:t xml:space="preserve">, naming the cross-functional role assigned to Graphic Design collaborators inside the simulation; and the</w:t>
      </w:r>
      <w:r>
        <w:t xml:space="preserve"> </w:t>
      </w:r>
      <w:r>
        <w:rPr>
          <w:b/>
          <w:bCs/>
        </w:rPr>
        <w:t xml:space="preserve">YELLOW Exit Ticket</w:t>
      </w:r>
      <w:r>
        <w:t xml:space="preserve"> </w:t>
      </w:r>
      <w:r>
        <w:t xml:space="preserve">(the end-of-module competency check, named for its in-simulation tier). Where these terms appear, they are functioning as proper-noun technical vocabulary for components of an instructional system that has been built and deployed — not as decorative flavor. Glosses are provided on first use.</w:t>
      </w:r>
    </w:p>
    <w:p>
      <w:pPr>
        <w:pStyle w:val="BodyText"/>
      </w:pPr>
      <w:r>
        <w:t xml:space="preserve">The frame is load-bearing pedagogy. The structural argument for why it is load-bearing — Edmondson on psychological safety, Dweck on growth mindset, Lave and Wenger on situated learning — is laid out in Objective Zero. The reader needs one assurance before proceeding: the work documented here is professional. The absurdity is deliberate. The citations are real.</w:t>
      </w:r>
    </w:p>
    <w:p>
      <w:r>
        <w:pict>
          <v:rect style="width:0;height:1.5pt" o:hralign="center" o:hrstd="t" o:hr="t"/>
        </w:pict>
      </w:r>
    </w:p>
    <w:bookmarkEnd w:id="11"/>
    <w:bookmarkStart w:id="12" w:name="X1a8f4d0bc0c91a42b97b96c6ea78c1001143557"/>
    <w:p>
      <w:pPr>
        <w:pStyle w:val="Heading2"/>
      </w:pPr>
      <w:r>
        <w:t xml:space="preserve">What the Reviewer Will Find Across This Binder</w:t>
      </w:r>
    </w:p>
    <w:p>
      <w:pPr>
        <w:pStyle w:val="FirstParagraph"/>
      </w:pPr>
      <w:r>
        <w:t xml:space="preserve">The objectives in this binder were specified for a course delivery role. What was delivered exceeded that specification — not by doing more of the same thing, but by building, at the same time, the conditions under which the specified work could be performed reliably, measured honestly, and replicated by others. The four objective chapters and the supporting documentation appendix that follow are the receipt for that claim.</w:t>
      </w:r>
    </w:p>
    <w:p>
      <w:pPr>
        <w:pStyle w:val="BodyText"/>
      </w:pPr>
      <w:r>
        <w:t xml:space="preserve">The Executive Summary that follows is the one-page version. Everything after it is the explanation.</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2026-05-16T16:56:46Z</dcterms:created>
  <dcterms:modified xsi:type="dcterms:W3CDTF">2026-05-16T16:56:46Z</dcterms:modified>
</cp:coreProperties>
</file>

<file path=docProps/custom.xml><?xml version="1.0" encoding="utf-8"?>
<Properties xmlns="http://schemas.openxmlformats.org/officeDocument/2006/custom-properties" xmlns:vt="http://schemas.openxmlformats.org/officeDocument/2006/docPropsVTypes"/>
</file>