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
          <w:bCs/>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
          <w:bCs/>
        </w:rPr>
        <w:t xml:space="preserve">World Economic Forum’s</w:t>
      </w:r>
      <w:r>
        <w:rPr>
          <w:b/>
          <w:bCs/>
        </w:rPr>
        <w:t xml:space="preserve"> </w:t>
      </w:r>
      <w:r>
        <w:rPr>
          <w:b/>
          <w:bCs/>
          <w:i/>
          <w:iCs/>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
          <w:bCs/>
        </w:rPr>
        <w:t xml:space="preserve">Burning Glass Technologies’</w:t>
      </w:r>
      <w:r>
        <w:rPr>
          <w:b/>
          <w:bCs/>
        </w:rPr>
        <w:t xml:space="preserve"> </w:t>
      </w:r>
      <w:r>
        <w:rPr>
          <w:b/>
          <w:bCs/>
          <w:i/>
          <w:iCs/>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
          <w:iCs/>
        </w:rPr>
        <w:t xml:space="preserve">plus</w:t>
      </w:r>
      <w:r>
        <w:t xml:space="preserve"> </w:t>
      </w:r>
      <w:r>
        <w:t xml:space="preserve">“the disposition for collaboration across disciplines.”</w:t>
      </w:r>
      <w:r>
        <w:t xml:space="preserve"> </w:t>
      </w:r>
      <w:r>
        <w:t xml:space="preserve">Without the latter, Brown observed,</w:t>
      </w:r>
      <w:r>
        <w:t xml:space="preserve"> </w:t>
      </w:r>
      <w:r>
        <w:t xml:space="preserve">“you get gray compromises where the best you can achieve is the lowest common denominator.”</w:t>
      </w:r>
    </w:p>
    <w:p>
      <w:pPr>
        <w:pStyle w:val="BodyText"/>
      </w:pPr>
      <w:r>
        <w:t xml:space="preserve">The research on interdisciplinary CS-and-design education at the postsecondary level confirms that the structural challenge is solvable. Heines, Jeffers, and Kuhn’s</w:t>
      </w:r>
      <w:r>
        <w:t xml:space="preserve"> </w:t>
      </w:r>
      <w:r>
        <w:rPr>
          <w:b/>
          <w:bCs/>
        </w:rPr>
        <w:t xml:space="preserve">“Performamatics”</w:t>
      </w:r>
      <w:r>
        <w:t xml:space="preserve"> </w:t>
      </w:r>
      <w:r>
        <w:t xml:space="preserve">series (</w:t>
      </w:r>
      <w:r>
        <w:rPr>
          <w:i/>
          <w:iCs/>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
          <w:bCs/>
        </w:rPr>
        <w:t xml:space="preserve">“Using Computer Graphics to Foster Interdisciplinary Collaboration in Capstone Courses,”</w:t>
      </w:r>
      <w:r>
        <w:t xml:space="preserve"> </w:t>
      </w:r>
      <w:r>
        <w:rPr>
          <w:i/>
          <w:iCs/>
        </w:rPr>
        <w:t xml:space="preserve">Journal of Computing Sciences in Colleges</w:t>
      </w:r>
      <w:r>
        <w:t xml:space="preserve">, 2008) noted directly that</w:t>
      </w:r>
      <w:r>
        <w:t xml:space="preserve"> </w:t>
      </w:r>
      <w:r>
        <w:t xml:space="preserve">“working effectively as a member of an interdisciplinary team is a skill highly valued by today’s employers”</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“a smoother end product”</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w:t>
      </w:r>
    </w:p>
    <w:p>
      <w:pPr>
        <w:pStyle w:val="Compact"/>
        <w:numPr>
          <w:ilvl w:val="0"/>
          <w:numId w:val="1005"/>
        </w:numPr>
      </w:pPr>
      <w:r>
        <w:t xml:space="preserve">5 completed projects with integrated, professional-quality design assets</w:t>
      </w:r>
    </w:p>
    <w:p>
      <w:pPr>
        <w:pStyle w:val="Compact"/>
        <w:numPr>
          <w:ilvl w:val="0"/>
          <w:numId w:val="1005"/>
        </w:numPr>
      </w:pPr>
      <w:r>
        <w:t xml:space="preserve">100% milestone completion across all five pairings</w:t>
      </w:r>
    </w:p>
    <w:p>
      <w:pPr>
        <w:pStyle w:val="Compact"/>
        <w:numPr>
          <w:ilvl w:val="0"/>
          <w:numId w:val="1005"/>
        </w:numPr>
      </w:pPr>
      <w:r>
        <w:t xml:space="preserve">Average collaboration rubric score:</w:t>
      </w:r>
      <w:r>
        <w:t xml:space="preserve"> </w:t>
      </w:r>
      <w:r>
        <w:rPr>
          <w:b/>
          <w:bCs/>
        </w:rPr>
        <w:t xml:space="preserve">87/100</w:t>
      </w:r>
    </w:p>
    <w:p>
      <w:pPr>
        <w:pStyle w:val="FirstParagraph"/>
      </w:pPr>
      <w:r>
        <w:rPr>
          <w:b/>
          <w:bCs/>
        </w:rPr>
        <w:t xml:space="preserve">Qualitative outcomes:</w:t>
      </w:r>
    </w:p>
    <w:p>
      <w:pPr>
        <w:pStyle w:val="Compact"/>
        <w:numPr>
          <w:ilvl w:val="0"/>
          <w:numId w:val="1006"/>
        </w:numPr>
      </w:pPr>
      <w:r>
        <w:t xml:space="preserve">CS teams reported that design integration substantially improved perceived project quality</w:t>
      </w:r>
    </w:p>
    <w:p>
      <w:pPr>
        <w:pStyle w:val="Compact"/>
        <w:numPr>
          <w:ilvl w:val="0"/>
          <w:numId w:val="1006"/>
        </w:numPr>
      </w:pPr>
      <w:r>
        <w:t xml:space="preserve">GRD students reported meaningful gains in understanding technical constraints and iterative feedback processes</w:t>
      </w:r>
    </w:p>
    <w:p>
      <w:pPr>
        <w:pStyle w:val="Compact"/>
        <w:numPr>
          <w:ilvl w:val="0"/>
          <w:numId w:val="1006"/>
        </w:numPr>
      </w:pPr>
      <w:r>
        <w:t xml:space="preserve">Both cohorts identified the formal handoff structure as the element most responsible for reducing last-minute communication crises</w:t>
      </w:r>
    </w:p>
    <w:p>
      <w:pPr>
        <w:pStyle w:val="Compact"/>
        <w:numPr>
          <w:ilvl w:val="0"/>
          <w:numId w:val="1006"/>
        </w:numPr>
      </w:pPr>
      <w:r>
        <w:t xml:space="preserve">Both departments expressed interest in continuing the protocol for subsequent terms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21" w:name="Xd96115032d37b6fe81875b8d494d18a79f8db6f"/>
    <w:p>
      <w:pPr>
        <w:pStyle w:val="Heading2"/>
      </w:pPr>
      <w:r>
        <w:t xml:space="preserve">Institutional Value: Infrastructure, Not Just Outcome</w:t>
      </w:r>
    </w:p>
    <w:bookmarkStart w:id="18"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pStyle w:val="Compact"/>
        <w:numPr>
          <w:ilvl w:val="0"/>
          <w:numId w:val="1007"/>
        </w:numPr>
      </w:pPr>
      <w:r>
        <w:rPr>
          <w:b/>
          <w:bCs/>
        </w:rPr>
        <w:t xml:space="preserve">Spring 2026:</w:t>
      </w:r>
      <w:r>
        <w:t xml:space="preserve"> </w:t>
      </w:r>
      <w:r>
        <w:t xml:space="preserve">First full implementation (completed).</w:t>
      </w:r>
    </w:p>
    <w:p>
      <w:pPr>
        <w:pStyle w:val="Compact"/>
        <w:numPr>
          <w:ilvl w:val="0"/>
          <w:numId w:val="1007"/>
        </w:numPr>
      </w:pPr>
      <w:r>
        <w:rPr>
          <w:b/>
          <w:bCs/>
        </w:rPr>
        <w:t xml:space="preserve">Fall 2026:</w:t>
      </w:r>
      <w:r>
        <w:t xml:space="preserve"> </w:t>
      </w:r>
      <w:r>
        <w:t xml:space="preserve">Protocol refinement based on retrospective feedback.</w:t>
      </w:r>
    </w:p>
    <w:p>
      <w:pPr>
        <w:pStyle w:val="Compact"/>
        <w:numPr>
          <w:ilvl w:val="0"/>
          <w:numId w:val="1007"/>
        </w:numPr>
      </w:pPr>
      <w:r>
        <w:rPr>
          <w:b/>
          <w:bCs/>
        </w:rPr>
        <w:t xml:space="preserve">Future terms:</w:t>
      </w:r>
      <w:r>
        <w:t xml:space="preserve"> </w:t>
      </w:r>
      <w:r>
        <w:t xml:space="preserve">Standardized framework with embedded continuous improvement.</w:t>
      </w:r>
    </w:p>
    <w:bookmarkEnd w:id="18"/>
    <w:bookmarkStart w:id="19"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pStyle w:val="Compact"/>
        <w:numPr>
          <w:ilvl w:val="0"/>
          <w:numId w:val="1008"/>
        </w:numPr>
      </w:pPr>
      <w:r>
        <w:t xml:space="preserve">Web Development + Graphic Design partnerships</w:t>
      </w:r>
    </w:p>
    <w:p>
      <w:pPr>
        <w:pStyle w:val="Compact"/>
        <w:numPr>
          <w:ilvl w:val="0"/>
          <w:numId w:val="1008"/>
        </w:numPr>
      </w:pPr>
      <w:r>
        <w:t xml:space="preserve">Database courses + Business Analytics integration</w:t>
      </w:r>
    </w:p>
    <w:p>
      <w:pPr>
        <w:pStyle w:val="Compact"/>
        <w:numPr>
          <w:ilvl w:val="0"/>
          <w:numId w:val="1008"/>
        </w:numPr>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19"/>
    <w:bookmarkStart w:id="20"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20"/>
    <w:bookmarkEnd w:id="21"/>
    <w:bookmarkStart w:id="22" w:name="conclusion-objective-exceeded"/>
    <w:p>
      <w:pPr>
        <w:pStyle w:val="Heading2"/>
      </w:pPr>
      <w:r>
        <w:t xml:space="preserve">Conclusion: Objective Exceeded</w:t>
      </w:r>
    </w:p>
    <w:p>
      <w:pPr>
        <w:pStyle w:val="FirstParagraph"/>
      </w:pPr>
      <w:r>
        <w:rPr>
          <w:b/>
          <w:bCs/>
        </w:rPr>
        <w:t xml:space="preserve">Minimum requirement:</w:t>
      </w:r>
      <w:r>
        <w:t xml:space="preserve"> </w:t>
      </w:r>
      <w:r>
        <w:t xml:space="preserve">Document Creative Brief process, establish three touchpoints, create collaboration rubrics.</w:t>
      </w:r>
    </w:p>
    <w:p>
      <w:pPr>
        <w:pStyle w:val="BodyText"/>
      </w:pPr>
      <w:r>
        <w:rPr>
          <w:b/>
          <w:bCs/>
        </w:rPr>
        <w:t xml:space="preserve">Actual delivery:</w:t>
      </w:r>
    </w:p>
    <w:p>
      <w:pPr>
        <w:pStyle w:val="Compact"/>
        <w:numPr>
          <w:ilvl w:val="0"/>
          <w:numId w:val="1009"/>
        </w:numPr>
      </w:pPr>
      <w:r>
        <w:t xml:space="preserve">Comprehensive cross-departmental framework with full process documentation</w:t>
      </w:r>
    </w:p>
    <w:p>
      <w:pPr>
        <w:pStyle w:val="Compact"/>
        <w:numPr>
          <w:ilvl w:val="0"/>
          <w:numId w:val="1009"/>
        </w:numPr>
      </w:pPr>
      <w:r>
        <w:t xml:space="preserve">Milestone structure integrated with Scrum methodology and Scrum Alliance cross-functional team norms</w:t>
      </w:r>
    </w:p>
    <w:p>
      <w:pPr>
        <w:pStyle w:val="Compact"/>
        <w:numPr>
          <w:ilvl w:val="0"/>
          <w:numId w:val="1009"/>
        </w:numPr>
      </w:pPr>
      <w:r>
        <w:t xml:space="preserve">Multi-dimensional assessment rubric with empirical grounding in collaboration-competency literature</w:t>
      </w:r>
    </w:p>
    <w:p>
      <w:pPr>
        <w:pStyle w:val="Compact"/>
        <w:numPr>
          <w:ilvl w:val="0"/>
          <w:numId w:val="1009"/>
        </w:numPr>
      </w:pPr>
      <w:r>
        <w:t xml:space="preserve">Successful first implementation with five completed, publicly presented projects</w:t>
      </w:r>
    </w:p>
    <w:p>
      <w:pPr>
        <w:pStyle w:val="Compact"/>
        <w:numPr>
          <w:ilvl w:val="0"/>
          <w:numId w:val="1009"/>
        </w:numPr>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
          <w:bCs/>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2026-05-16T16:56:46Z</dcterms:created>
  <dcterms:modified xsi:type="dcterms:W3CDTF">2026-05-16T16:56:46Z</dcterms:modified>
</cp:coreProperties>
</file>

<file path=docProps/custom.xml><?xml version="1.0" encoding="utf-8"?>
<Properties xmlns="http://schemas.openxmlformats.org/officeDocument/2006/custom-properties" xmlns:vt="http://schemas.openxmlformats.org/officeDocument/2006/docPropsVTypes"/>
</file>