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introduction"/>
    <w:p>
      <w:pPr>
        <w:pStyle w:val="Heading1"/>
      </w:pPr>
      <w:r>
        <w:t xml:space="preserve">Introduction</w:t>
      </w:r>
    </w:p>
    <w:p>
      <w:pPr>
        <w:pStyle w:val="FirstParagraph"/>
      </w:pPr>
      <w:r>
        <w:rPr>
          <w:b/>
          <w:bCs/>
        </w:rPr>
        <w:t xml:space="preserve">Spring 2026 Performance Review · Binder Front Matter</w:t>
      </w:r>
      <w:r>
        <w:t xml:space="preserve"> </w:t>
      </w:r>
      <w:r>
        <w:rPr>
          <w:b/>
          <w:bCs/>
        </w:rPr>
        <w:t xml:space="preserve">Instructor:</w:t>
      </w:r>
      <w:r>
        <w:t xml:space="preserve"> </w:t>
      </w:r>
      <w:r>
        <w:t xml:space="preserve">[REDACTED]</w:t>
      </w:r>
      <w:r>
        <w:t xml:space="preserve"> </w:t>
      </w:r>
      <w:r>
        <w:rPr>
          <w:b/>
          <w:bCs/>
        </w:rPr>
        <w:t xml:space="preserve">Program:</w:t>
      </w:r>
      <w:r>
        <w:t xml:space="preserve"> </w:t>
      </w:r>
      <w:r>
        <w:t xml:space="preserve">CSC 289 (Software Development Capstone) · CTS 285 (Web Application Development) · CPD Tools Group</w:t>
      </w:r>
      <w:r>
        <w:t xml:space="preserve"> </w:t>
      </w:r>
      <w:r>
        <w:rPr>
          <w:b/>
          <w:bCs/>
        </w:rPr>
        <w:t xml:space="preserve">Review Period:</w:t>
      </w:r>
      <w:r>
        <w:t xml:space="preserve"> </w:t>
      </w:r>
      <w:r>
        <w:t xml:space="preserve">Spring 2026</w:t>
      </w:r>
    </w:p>
    <w:p>
      <w:r>
        <w:pict>
          <v:rect style="width:0;height:1.5pt" o:hralign="center" o:hrstd="t" o:hr="t"/>
        </w:pict>
      </w:r>
    </w:p>
    <w:bookmarkStart w:id="9" w:name="what-this-binder-documents"/>
    <w:p>
      <w:pPr>
        <w:pStyle w:val="Heading2"/>
      </w:pPr>
      <w:r>
        <w:t xml:space="preserve">What This Binder Documents</w:t>
      </w:r>
    </w:p>
    <w:p>
      <w:pPr>
        <w:pStyle w:val="FirstParagraph"/>
      </w:pPr>
      <w:r>
        <w:t xml:space="preserve">This binder documents three completed performance objectives undertaken during the Spring 2026 review period — and a fourth objective that was not, strictly speaking, assigned. The three formal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The fourth objective — labeled here as Objective Zero — is the design and construction of the instructional environment inside which the other three operate. It is documented last in the binder because it is the architecture, and architecture is most usefully read after the reader has held the finished rooms in hand.</w:t>
      </w:r>
    </w:p>
    <w:p>
      <w:pPr>
        <w:pStyle w:val="BodyText"/>
      </w:pPr>
      <w:r>
        <w:t xml:space="preserve">The binder is organized for two reading paths:</w:t>
      </w:r>
    </w:p>
    <w:p>
      <w:pPr>
        <w:pStyle w:val="Compact"/>
        <w:numPr>
          <w:ilvl w:val="0"/>
          <w:numId w:val="1001"/>
        </w:numPr>
      </w:pPr>
      <w:r>
        <w:rPr>
          <w:b/>
          <w:bCs/>
        </w:rPr>
        <w:t xml:space="preserve">The reviewer with time</w:t>
      </w:r>
      <w:r>
        <w:t xml:space="preserve"> </w:t>
      </w:r>
      <w:r>
        <w:t xml:space="preserve">reads it front-to-back: this Introduction, the Executive Summary, three objective chapters in order, then Objective Zero, then the supporting documentation appendix.</w:t>
      </w:r>
    </w:p>
    <w:p>
      <w:pPr>
        <w:pStyle w:val="Compact"/>
        <w:numPr>
          <w:ilvl w:val="0"/>
          <w:numId w:val="1001"/>
        </w:numPr>
      </w:pPr>
      <w:r>
        <w:rPr>
          <w:b/>
          <w:bCs/>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9"/>
    <w:bookmarkStart w:id="10" w:name="the-unifying-methodological-thread"/>
    <w:p>
      <w:pPr>
        <w:pStyle w:val="Heading2"/>
      </w:pPr>
      <w:r>
        <w:t xml:space="preserve">The Unifying Methodological Thread</w:t>
      </w:r>
    </w:p>
    <w:p>
      <w:pPr>
        <w:pStyle w:val="FirstParagraph"/>
      </w:pPr>
      <w:r>
        <w:t xml:space="preserve">A single design principle runs through every objective in this review, including the one that was never formally assigned:</w:t>
      </w:r>
      <w:r>
        <w:t xml:space="preserve"> </w:t>
      </w:r>
      <w:r>
        <w:rPr>
          <w:b/>
          <w:bCs/>
        </w:rPr>
        <w:t xml:space="preserve">measure rate of change, not absolute position.</w:t>
      </w:r>
    </w:p>
    <w:p>
      <w:pPr>
        <w:pStyle w:val="BodyText"/>
      </w:pPr>
      <w:r>
        <w:t xml:space="preserve">Standard performance assessment — for students, for instructors, for institutional initiatives — measures</w:t>
      </w:r>
      <w:r>
        <w:t xml:space="preserve"> </w:t>
      </w:r>
      <w:r>
        <w:rPr>
          <w:b/>
          <w:bCs/>
        </w:rPr>
        <w:t xml:space="preserve">y</w:t>
      </w:r>
      <w:r>
        <w:t xml:space="preserve">: where someone is on a scale at a given moment. The student who finishes the semester at the 65th percentile is graded above the one who finishes at the 50th. The course that produced a 4.2 average on the end-of-term survey is rated higher than the one that produced a 4.0. The instructor whose evaluation numbers improved a fraction over the prior year is rated essentially the same as the one whose numbers held flat.</w:t>
      </w:r>
    </w:p>
    <w:p>
      <w:pPr>
        <w:pStyle w:val="BodyText"/>
      </w:pPr>
      <w:r>
        <w:t xml:space="preserve">This is the wrong measurement.</w:t>
      </w:r>
    </w:p>
    <w:p>
      <w:pPr>
        <w:pStyle w:val="BodyText"/>
      </w:pPr>
      <w:r>
        <w:t xml:space="preserve">What matters in a community college serving the Research Triangle job market — and what matters to any employer screening recent graduates — is</w:t>
      </w:r>
      <w:r>
        <w:t xml:space="preserve"> </w:t>
      </w:r>
      <w:r>
        <w:rPr>
          <w:b/>
          <w:bCs/>
        </w:rPr>
        <w:t xml:space="preserve">dy/dx</w:t>
      </w:r>
      <w:r>
        <w:t xml:space="preserve">: the rate at which a person develops capability. A student who arrived at zero and finished at fifty has demonstrated something more consequential for a hiring manager than the student who arrived at sixty and finished at sixty-five: they will not stay where they started. Credentials measure y. Careers are built on dy/dx.</w:t>
      </w:r>
    </w:p>
    <w:p>
      <w:pPr>
        <w:pStyle w:val="BodyText"/>
      </w:pPr>
      <w:r>
        <w:t xml:space="preserve">The same logic applies one level up. A pedagogical framework that produces measurable iteration — students opening pull requests they would not previously have opened, design students sitting inside Scrum ceremonies they would not previously have attended, peer reviews that climb in quality over the term — is worth more than a curriculum that produces a higher single-point exam average and no observable change in behavior. The rubrics in this binder are constructed accordingly. They reward documented iteration over polished one-shot submission. They surface growth that absolute-position grading erases.</w:t>
      </w:r>
    </w:p>
    <w:p>
      <w:pPr>
        <w:pStyle w:val="BodyText"/>
      </w:pPr>
      <w:r>
        <w:t xml:space="preserve">This is not a metaphor. It is a rubric design specification, applied consistently across all three objectives and operationalized in the supporting infrastructure.</w:t>
      </w:r>
    </w:p>
    <w:p>
      <w:r>
        <w:pict>
          <v:rect style="width:0;height:1.5pt" o:hralign="center" o:hrstd="t" o:hr="t"/>
        </w:pict>
      </w:r>
    </w:p>
    <w:bookmarkEnd w:id="10"/>
    <w:bookmarkStart w:id="11"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
          <w:bCs/>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
          <w:bCs/>
        </w:rPr>
        <w:t xml:space="preserve">clearance progression</w:t>
      </w:r>
      <w:r>
        <w:t xml:space="preserve"> </w:t>
      </w:r>
      <w:r>
        <w:t xml:space="preserve">(INFRARED → BLUE → INDIGO → VIOLET → ULTRAVIOLET, the in-world tiering system students traverse over the semester);</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the cross-functional role assigned to Graphic Design collaborators inside the simulation; and the</w:t>
      </w:r>
      <w:r>
        <w:t xml:space="preserve"> </w:t>
      </w:r>
      <w:r>
        <w:rPr>
          <w:b/>
          <w:bCs/>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Objective Zero. The reader needs one assurance before proceeding: the work documented here is professional. The absurdity is deliberate. The citations are real.</w:t>
      </w:r>
    </w:p>
    <w:p>
      <w:r>
        <w:pict>
          <v:rect style="width:0;height:1.5pt" o:hralign="center" o:hrstd="t" o:hr="t"/>
        </w:pict>
      </w:r>
    </w:p>
    <w:bookmarkEnd w:id="11"/>
    <w:bookmarkStart w:id="12"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What was delivered exceeded that specification — not by doing more of the same thing, but by building, at the same time, the conditions under which the specified work could be performed reliably, measured honestly, and replicated by others. The four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2026-05-16T19:13:36Z</dcterms:created>
  <dcterms:modified xsi:type="dcterms:W3CDTF">2026-05-16T19:13:36Z</dcterms:modified>
</cp:coreProperties>
</file>

<file path=docProps/custom.xml><?xml version="1.0" encoding="utf-8"?>
<Properties xmlns="http://schemas.openxmlformats.org/officeDocument/2006/custom-properties" xmlns:vt="http://schemas.openxmlformats.org/officeDocument/2006/docPropsVTypes"/>
</file>