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b40139990f012c5678b472dc649011d680bcea"/>
    <w:p>
      <w:pPr>
        <w:pStyle w:val="Heading1"/>
      </w:pPr>
      <w:r>
        <w:t xml:space="preserve">Evidence Base for a CS / Graphic Design Cross-Departmental Capstone Framework</w:t>
      </w:r>
    </w:p>
    <w:bookmarkStart w:id="9" w:name="tldr"/>
    <w:p>
      <w:pPr>
        <w:pStyle w:val="Heading2"/>
      </w:pPr>
      <w:r>
        <w:t xml:space="preserve">TL;DR</w:t>
      </w:r>
    </w:p>
    <w:p>
      <w:pPr>
        <w:pStyle w:val="Compact"/>
        <w:numPr>
          <w:ilvl w:val="0"/>
          <w:numId w:val="1001"/>
        </w:numPr>
      </w:pPr>
      <w:r>
        <w:rPr>
          <w:b/>
          <w:bCs/>
        </w:rPr>
        <w:t xml:space="preserve">The proposed framework is strongly supported by convergent evidence from peer-reviewed CS education research (ACM SIGCSE,</w:t>
      </w:r>
      <w:r>
        <w:rPr>
          <w:b/>
          <w:bCs/>
        </w:rPr>
        <w:t xml:space="preserve"> </w:t>
      </w:r>
      <w:r>
        <w:rPr>
          <w:b/>
          <w:bCs/>
          <w:i/>
          <w:iCs/>
        </w:rPr>
        <w:t xml:space="preserve">IEEE Transactions on Education</w:t>
      </w:r>
      <w:r>
        <w:rPr>
          <w:b/>
          <w:bCs/>
        </w:rPr>
        <w:t xml:space="preserve">,</w:t>
      </w:r>
      <w:r>
        <w:rPr>
          <w:b/>
          <w:bCs/>
        </w:rPr>
        <w:t xml:space="preserve"> </w:t>
      </w:r>
      <w:r>
        <w:rPr>
          <w:b/>
          <w:bCs/>
          <w:i/>
          <w:iCs/>
        </w:rPr>
        <w:t xml:space="preserve">Journal of Computing Sciences in Colleges</w:t>
      </w:r>
      <w:r>
        <w:rPr>
          <w:b/>
          <w:bCs/>
        </w:rPr>
        <w:t xml:space="preserve">), national employer surveys (NACE Job Outlook 2025/2026; WEF</w:t>
      </w:r>
      <w:r>
        <w:rPr>
          <w:b/>
          <w:bCs/>
        </w:rPr>
        <w:t xml:space="preserve"> </w:t>
      </w:r>
      <w:r>
        <w:rPr>
          <w:b/>
          <w:bCs/>
          <w:i/>
          <w:iCs/>
        </w:rPr>
        <w:t xml:space="preserve">Future of Jobs Report 2025</w:t>
      </w:r>
      <w:r>
        <w:rPr>
          <w:b/>
          <w:bCs/>
        </w:rPr>
        <w:t xml:space="preserve">), labor-market analytics (Burning Glass / Lightcast on</w:t>
      </w:r>
      <w:r>
        <w:rPr>
          <w:b/>
          <w:bCs/>
        </w:rPr>
        <w:t xml:space="preserve"> </w:t>
      </w:r>
      <w:r>
        <w:rPr>
          <w:b/>
          <w:bCs/>
        </w:rPr>
        <w:t xml:space="preserve">“hybrid jobs”</w:t>
      </w:r>
      <w:r>
        <w:rPr>
          <w:b/>
          <w:bCs/>
        </w:rPr>
        <w:t xml:space="preserve">), and practitioner authorities (Nielsen Norman Group, IDEO, Agile Alliance, Scrum Alliance, AAC&amp;U). Every structural element of the framework maps onto a documented best practice.</w:t>
      </w:r>
    </w:p>
    <w:p>
      <w:pPr>
        <w:pStyle w:val="Compact"/>
        <w:numPr>
          <w:ilvl w:val="0"/>
          <w:numId w:val="1001"/>
        </w:numPr>
      </w:pPr>
      <w:r>
        <w:rPr>
          <w:b/>
          <w:bCs/>
        </w:rPr>
        <w:t xml:space="preserve">Employers now prize exactly the cross-functional competencies the framework develops.</w:t>
      </w:r>
      <w:r>
        <w:t xml:space="preserve"> </w:t>
      </w:r>
      <w:r>
        <w:t xml:space="preserve">NACE Job Outlook 2025 reports nearly 90% of recruiters look for problem-solving and nearly 80% for teamwork on new-grad resumes; in Job Outlook 2026 (data collected Aug–Sep 2025), 70% of employers use skills-based hiring (up from 65%) and only 42% still screen by GPA (down from 73% in 2019). The WEF</w:t>
      </w:r>
      <w:r>
        <w:t xml:space="preserve"> </w:t>
      </w:r>
      <w:r>
        <w:rPr>
          <w:i/>
          <w:iCs/>
        </w:rPr>
        <w:t xml:space="preserve">Future of Jobs Report 2025</w:t>
      </w:r>
      <w:r>
        <w:t xml:space="preserve"> </w:t>
      </w:r>
      <w:r>
        <w:t xml:space="preserve">finds</w:t>
      </w:r>
      <w:r>
        <w:t xml:space="preserve"> </w:t>
      </w:r>
      <w:r>
        <w:t xml:space="preserve">“workers can expect that two-fifths (39%) of their existing skill sets will be transformed or become outdated over the 2025–2030 period,”</w:t>
      </w:r>
      <w:r>
        <w:t xml:space="preserve"> </w:t>
      </w:r>
      <w:r>
        <w:t xml:space="preserve">with analytical thinking, AI &amp; big data, creative thinking, and resilience/flexibility/agility leading the rising-skill list — a profile that aligns with IDEO’s</w:t>
      </w:r>
      <w:r>
        <w:t xml:space="preserve"> </w:t>
      </w:r>
      <w:r>
        <w:t xml:space="preserve">“T-shaped”</w:t>
      </w:r>
      <w:r>
        <w:t xml:space="preserve"> </w:t>
      </w:r>
      <w:r>
        <w:t xml:space="preserve">model and Burning Glass’s</w:t>
      </w:r>
      <w:r>
        <w:t xml:space="preserve"> </w:t>
      </w:r>
      <w:r>
        <w:rPr>
          <w:i/>
          <w:iCs/>
        </w:rPr>
        <w:t xml:space="preserve">Hybrid Job Economy</w:t>
      </w:r>
      <w:r>
        <w:t xml:space="preserve"> </w:t>
      </w:r>
      <w:r>
        <w:t xml:space="preserve">(2019) finding that hybrid roles pay 20–40% more and grow at roughly twice the overall rate.</w:t>
      </w:r>
    </w:p>
    <w:p>
      <w:pPr>
        <w:pStyle w:val="Compact"/>
        <w:numPr>
          <w:ilvl w:val="0"/>
          <w:numId w:val="1001"/>
        </w:numPr>
      </w:pPr>
      <w:r>
        <w:rPr>
          <w:b/>
          <w:bCs/>
        </w:rPr>
        <w:t xml:space="preserve">For a community-college capstone, the framework also satisfies AAC&amp;U high-impact-practice criteria (Kuh, 2008; Kuh &amp; O’Donnell, 2013) — capstone projects and collaborative assignments — and aligns with Perkins V/CTE program-review requirements for interdisciplinary, work-aligned learning, making it defensible for both pedagogical and accreditation purposes.</w:t>
      </w:r>
    </w:p>
    <w:p>
      <w:r>
        <w:pict>
          <v:rect style="width:0;height:1.5pt" o:hralign="center" o:hrstd="t" o:hr="t"/>
        </w:pict>
      </w:r>
    </w:p>
    <w:bookmarkEnd w:id="9"/>
    <w:bookmarkStart w:id="10" w:name="key-findings"/>
    <w:p>
      <w:pPr>
        <w:pStyle w:val="Heading2"/>
      </w:pPr>
      <w:r>
        <w:t xml:space="preserve">Key Findings</w:t>
      </w:r>
    </w:p>
    <w:p>
      <w:pPr>
        <w:pStyle w:val="Compact"/>
        <w:numPr>
          <w:ilvl w:val="0"/>
          <w:numId w:val="1002"/>
        </w:numPr>
      </w:pPr>
      <w:r>
        <w:rPr>
          <w:b/>
          <w:bCs/>
        </w:rPr>
        <w:t xml:space="preserve">Interdisciplinary CS + design capstones are an established, peer-reviewed pedagogical model.</w:t>
      </w:r>
      <w:r>
        <w:t xml:space="preserve"> </w:t>
      </w:r>
      <w:r>
        <w:t xml:space="preserve">The clearest direct precedents are Heines, Jeffers &amp; Kuhn’s</w:t>
      </w:r>
      <w:r>
        <w:t xml:space="preserve"> </w:t>
      </w:r>
      <w:r>
        <w:t xml:space="preserve">“Performamatics: Experiences With Connecting a Computer Science Course to a Design Arts Course”</w:t>
      </w:r>
      <w:r>
        <w:t xml:space="preserve"> </w:t>
      </w:r>
      <w:r>
        <w:t xml:space="preserve">(</w:t>
      </w:r>
      <w:r>
        <w:rPr>
          <w:i/>
          <w:iCs/>
        </w:rPr>
        <w:t xml:space="preserve">International Journal of Learning</w:t>
      </w:r>
      <w:r>
        <w:t xml:space="preserve"> </w:t>
      </w:r>
      <w:r>
        <w:t xml:space="preserve">15(2):9–16, 2008) and McDonald &amp; Wolfe’s</w:t>
      </w:r>
      <w:r>
        <w:t xml:space="preserve"> </w:t>
      </w:r>
      <w:r>
        <w:t xml:space="preserve">“Using computer graphics to foster interdisciplinary collaboration in capstone courses”</w:t>
      </w:r>
      <w:r>
        <w:t xml:space="preserve"> </w:t>
      </w:r>
      <w:r>
        <w:t xml:space="preserve">(</w:t>
      </w:r>
      <w:r>
        <w:rPr>
          <w:i/>
          <w:iCs/>
        </w:rPr>
        <w:t xml:space="preserve">Journal of Computing Sciences in Colleges</w:t>
      </w:r>
      <w:r>
        <w:t xml:space="preserve"> </w:t>
      </w:r>
      <w:r>
        <w:t xml:space="preserve">24(1):83–90, 2008, DePaul). Both report that, in the words of McDonald &amp; Wolfe’s abstract,</w:t>
      </w:r>
      <w:r>
        <w:t xml:space="preserve"> </w:t>
      </w:r>
      <w:r>
        <w:t xml:space="preserve">“working effectively as a member of an interdisciplinary team is a skill highly valued by today’s employers.”</w:t>
      </w:r>
      <w:r>
        <w:t xml:space="preserve"> </w:t>
      </w:r>
      <w:r>
        <w:t xml:space="preserve">Georgia Tech’s CS Junior Design sequence (Hutter, Lawrence, McDaniel &amp; Murrell, SIGCSE ’18, DOI 10.1145/3159450.3159625) provides a large-scale, multi-cohort model demonstrating that true integration — rather than parallel disciplinary labor — produces</w:t>
      </w:r>
      <w:r>
        <w:t xml:space="preserve"> </w:t>
      </w:r>
      <w:r>
        <w:t xml:space="preserve">“a smoother end product.”</w:t>
      </w:r>
    </w:p>
    <w:p>
      <w:pPr>
        <w:pStyle w:val="Compact"/>
        <w:numPr>
          <w:ilvl w:val="0"/>
          <w:numId w:val="1002"/>
        </w:numPr>
      </w:pPr>
      <w:r>
        <w:rPr>
          <w:b/>
          <w:bCs/>
        </w:rPr>
        <w:t xml:space="preserve">Agile/Scrum in capstone courses produces industry-aligned outcomes.</w:t>
      </w:r>
      <w:r>
        <w:t xml:space="preserve"> </w:t>
      </w:r>
      <w:r>
        <w:t xml:space="preserve">Mahnič’s longitudinal study</w:t>
      </w:r>
      <w:r>
        <w:t xml:space="preserve"> </w:t>
      </w:r>
      <w:r>
        <w:t xml:space="preserve">“A Capstone Course on Agile Software Development Using Scrum”</w:t>
      </w:r>
      <w:r>
        <w:t xml:space="preserve"> </w:t>
      </w:r>
      <w:r>
        <w:t xml:space="preserve">(</w:t>
      </w:r>
      <w:r>
        <w:rPr>
          <w:i/>
          <w:iCs/>
        </w:rPr>
        <w:t xml:space="preserve">IEEE Transactions on Education</w:t>
      </w:r>
      <w:r>
        <w:t xml:space="preserve"> </w:t>
      </w:r>
      <w:r>
        <w:t xml:space="preserve">55(1), Feb 2012, DOI 10.1109/TE.2011.2142311) reports that students’</w:t>
      </w:r>
      <w:r>
        <w:t xml:space="preserve"> </w:t>
      </w:r>
      <w:r>
        <w:t xml:space="preserve">“opinions about the course are overwhelmingly positive, indicating that the course is interesting and beneficial to their employability and professional career,”</w:t>
      </w:r>
      <w:r>
        <w:t xml:space="preserve"> </w:t>
      </w:r>
      <w:r>
        <w:t xml:space="preserve">with measurable improvements in estimation and planning. Matthies’s</w:t>
      </w:r>
      <w:r>
        <w:t xml:space="preserve"> </w:t>
      </w:r>
      <w:r>
        <w:t xml:space="preserve">“Scrum2Kanban”</w:t>
      </w:r>
      <w:r>
        <w:t xml:space="preserve"> </w:t>
      </w:r>
      <w:r>
        <w:t xml:space="preserve">(IEEE/ACM SEEM ’18, arXiv:1804.03412) extends the pattern. Scrum Alliance defines cross-functional teams as those whose members</w:t>
      </w:r>
      <w:r>
        <w:t xml:space="preserve"> </w:t>
      </w:r>
      <w:r>
        <w:t xml:space="preserve">“can include developers, testers, designers, and any other roles required to achieve the sprint goal”</w:t>
      </w:r>
      <w:r>
        <w:t xml:space="preserve"> </w:t>
      </w:r>
      <w:r>
        <w:t xml:space="preserve">— the exact configuration of a CS-plus-design capstone team.</w:t>
      </w:r>
    </w:p>
    <w:p>
      <w:pPr>
        <w:pStyle w:val="Compact"/>
        <w:numPr>
          <w:ilvl w:val="0"/>
          <w:numId w:val="1002"/>
        </w:numPr>
      </w:pPr>
      <w:r>
        <w:rPr>
          <w:b/>
          <w:bCs/>
        </w:rPr>
        <w:t xml:space="preserve">Structured creative briefs, design specs, and formal handoff documentation are industry norms that reduce error and rework.</w:t>
      </w:r>
      <w:r>
        <w:t xml:space="preserve"> </w:t>
      </w:r>
      <w:r>
        <w:t xml:space="preserve">Nielsen Norman Group’s</w:t>
      </w:r>
      <w:r>
        <w:t xml:space="preserve"> </w:t>
      </w:r>
      <w:r>
        <w:t xml:space="preserve">“Creating Design Specs for Development”</w:t>
      </w:r>
      <w:r>
        <w:t xml:space="preserve"> </w:t>
      </w:r>
      <w:r>
        <w:t xml:space="preserve">(Kelley Gordon, June 20, 2025) defines specs as documents that</w:t>
      </w:r>
      <w:r>
        <w:t xml:space="preserve"> </w:t>
      </w:r>
      <w:r>
        <w:t xml:space="preserve">“provide all relevant information on the functionality, behavior, and appearance of a design, so that developers can implement the design into a real, functioning product,”</w:t>
      </w:r>
      <w:r>
        <w:t xml:space="preserve"> </w:t>
      </w:r>
      <w:r>
        <w:t xml:space="preserve">and warns</w:t>
      </w:r>
      <w:r>
        <w:t xml:space="preserve"> </w:t>
      </w:r>
      <w:r>
        <w:t xml:space="preserve">“you would be shocked how many times a lack of documentation has created confusion and frustration in design and development teams.”</w:t>
      </w:r>
      <w:r>
        <w:t xml:space="preserve"> </w:t>
      </w:r>
      <w:r>
        <w:t xml:space="preserve">NN/g’s</w:t>
      </w:r>
      <w:r>
        <w:t xml:space="preserve"> </w:t>
      </w:r>
      <w:r>
        <w:t xml:space="preserve">“Use Good Prototype Specifications to Empower Team Collaboration”</w:t>
      </w:r>
      <w:r>
        <w:t xml:space="preserve"> </w:t>
      </w:r>
      <w:r>
        <w:t xml:space="preserve">frames specs as the mechanism that</w:t>
      </w:r>
      <w:r>
        <w:t xml:space="preserve"> </w:t>
      </w:r>
      <w:r>
        <w:t xml:space="preserve">“empower team collaboration and lower communication costs.”</w:t>
      </w:r>
      <w:r>
        <w:t xml:space="preserve"> </w:t>
      </w:r>
      <w:r>
        <w:t xml:space="preserve">The Interaction Design Foundation’s 2026 handoff curriculum emphasizes that vague specifications and disorganized files are the principal failure modes designers must avoid.</w:t>
      </w:r>
    </w:p>
    <w:p>
      <w:pPr>
        <w:pStyle w:val="Compact"/>
        <w:numPr>
          <w:ilvl w:val="0"/>
          <w:numId w:val="1002"/>
        </w:numPr>
      </w:pPr>
      <w:r>
        <w:rPr>
          <w:b/>
          <w:bCs/>
        </w:rPr>
        <w:t xml:space="preserve">Milestone-based collaboration improves accountability, transparency, and completion.</w:t>
      </w:r>
      <w:r>
        <w:t xml:space="preserve"> </w:t>
      </w:r>
      <w:r>
        <w:t xml:space="preserve">Industry project-management practice (Atlassian, Teamwork.com) converges on the finding that</w:t>
      </w:r>
      <w:r>
        <w:t xml:space="preserve"> </w:t>
      </w:r>
      <w:r>
        <w:t xml:space="preserve">“by defining clear checkpoints, setting realistic dates, monitoring progress systematically, and taking corrective action promptly, organizations can significantly improve their project success rates.”</w:t>
      </w:r>
      <w:r>
        <w:t xml:space="preserve"> </w:t>
      </w:r>
      <w:r>
        <w:t xml:space="preserve">Milestones force teams to define</w:t>
      </w:r>
      <w:r>
        <w:t xml:space="preserve"> </w:t>
      </w:r>
      <w:r>
        <w:t xml:space="preserve">“what</w:t>
      </w:r>
      <w:r>
        <w:t xml:space="preserve"> </w:t>
      </w:r>
      <w:r>
        <w:t xml:space="preserve">‘done’</w:t>
      </w:r>
      <w:r>
        <w:t xml:space="preserve"> </w:t>
      </w:r>
      <w:r>
        <w:t xml:space="preserve">looks like at various intervals,”</w:t>
      </w:r>
      <w:r>
        <w:t xml:space="preserve"> </w:t>
      </w:r>
      <w:r>
        <w:t xml:space="preserve">shifting from activity-based to outcome-based execution — particularly valuable in interdisciplinary student teams where each discipline tracks different artifacts.</w:t>
      </w:r>
    </w:p>
    <w:p>
      <w:pPr>
        <w:pStyle w:val="Compact"/>
        <w:numPr>
          <w:ilvl w:val="0"/>
          <w:numId w:val="1002"/>
        </w:numPr>
      </w:pPr>
      <w:r>
        <w:rPr>
          <w:b/>
          <w:bCs/>
        </w:rPr>
        <w:t xml:space="preserve">Shared rubrics that assess collaboration (not just individual deliverables) have established validity in interprofessional education.</w:t>
      </w:r>
      <w:r>
        <w:t xml:space="preserve"> </w:t>
      </w:r>
      <w:r>
        <w:t xml:space="preserve">The Interprofessional Collaborator Assessment Rubric (Curran et al., grounded in the WHO 2010</w:t>
      </w:r>
      <w:r>
        <w:t xml:space="preserve"> </w:t>
      </w:r>
      <w:r>
        <w:rPr>
          <w:i/>
          <w:iCs/>
        </w:rPr>
        <w:t xml:space="preserve">Framework for Action on Interprofessional Education &amp; Collaborative Practice</w:t>
      </w:r>
      <w:r>
        <w:t xml:space="preserve">) is the most-cited validated rubric of this type. The broader rubric-effects literature is summarized by Jonsson &amp; Svingby,</w:t>
      </w:r>
      <w:r>
        <w:t xml:space="preserve"> </w:t>
      </w:r>
      <w:r>
        <w:t xml:space="preserve">“The Use of Scoring Rubrics: Reliability, Validity and Educational Consequences”</w:t>
      </w:r>
      <w:r>
        <w:t xml:space="preserve"> </w:t>
      </w:r>
      <w:r>
        <w:t xml:space="preserve">(</w:t>
      </w:r>
      <w:r>
        <w:rPr>
          <w:i/>
          <w:iCs/>
        </w:rPr>
        <w:t xml:space="preserve">Educational Research Review</w:t>
      </w:r>
      <w:r>
        <w:t xml:space="preserve"> </w:t>
      </w:r>
      <w:r>
        <w:t xml:space="preserve">2(2):130–144, 2007), which concludes that</w:t>
      </w:r>
      <w:r>
        <w:t xml:space="preserve"> </w:t>
      </w:r>
      <w:r>
        <w:t xml:space="preserve">“rubrics seem to have the potential of promoting student learning”</w:t>
      </w:r>
      <w:r>
        <w:t xml:space="preserve"> </w:t>
      </w:r>
      <w:r>
        <w:t xml:space="preserve">by</w:t>
      </w:r>
      <w:r>
        <w:t xml:space="preserve"> </w:t>
      </w:r>
      <w:r>
        <w:t xml:space="preserve">“making expectations and criteria explicit.”</w:t>
      </w:r>
      <w:r>
        <w:t xml:space="preserve"> </w:t>
      </w:r>
      <w:r>
        <w:t xml:space="preserve">A 2024 meta-analysis (Panadero et al.,</w:t>
      </w:r>
      <w:r>
        <w:t xml:space="preserve"> </w:t>
      </w:r>
      <w:r>
        <w:rPr>
          <w:i/>
          <w:iCs/>
        </w:rPr>
        <w:t xml:space="preserve">Educational Psychology Review</w:t>
      </w:r>
      <w:r>
        <w:t xml:space="preserve">, DOI 10.1007/s10648-023-09823-4) finds</w:t>
      </w:r>
      <w:r>
        <w:t xml:space="preserve"> </w:t>
      </w:r>
      <w:r>
        <w:t xml:space="preserve">“a moderate and positive effect … on academic performance (g = 0.45).”</w:t>
      </w:r>
    </w:p>
    <w:p>
      <w:pPr>
        <w:pStyle w:val="Compact"/>
        <w:numPr>
          <w:ilvl w:val="0"/>
          <w:numId w:val="1002"/>
        </w:numPr>
      </w:pPr>
      <w:r>
        <w:rPr>
          <w:b/>
          <w:bCs/>
        </w:rPr>
        <w:t xml:space="preserve">Employer demand for cross-functional /</w:t>
      </w:r>
      <w:r>
        <w:rPr>
          <w:b/>
          <w:bCs/>
        </w:rPr>
        <w:t xml:space="preserve"> </w:t>
      </w:r>
      <w:r>
        <w:rPr>
          <w:b/>
          <w:bCs/>
        </w:rPr>
        <w:t xml:space="preserve">“T-shaped”</w:t>
      </w:r>
      <w:r>
        <w:rPr>
          <w:b/>
          <w:bCs/>
        </w:rPr>
        <w:t xml:space="preserve"> </w:t>
      </w:r>
      <w:r>
        <w:rPr>
          <w:b/>
          <w:bCs/>
        </w:rPr>
        <w:t xml:space="preserve">graduates is documented, large, and growing.</w:t>
      </w:r>
    </w:p>
    <w:p>
      <w:pPr>
        <w:pStyle w:val="Compact"/>
        <w:numPr>
          <w:ilvl w:val="0"/>
          <w:numId w:val="1003"/>
        </w:numPr>
      </w:pPr>
      <w:r>
        <w:rPr>
          <w:b/>
          <w:bCs/>
        </w:rPr>
        <w:t xml:space="preserve">NACE Job Outlook 2025</w:t>
      </w:r>
      <w:r>
        <w:t xml:space="preserve"> </w:t>
      </w:r>
      <w:r>
        <w:t xml:space="preserve">(n=237 employers; data collected Aug–Sep 2024): per NACE’s own</w:t>
      </w:r>
      <w:r>
        <w:t xml:space="preserve"> </w:t>
      </w:r>
      <w:r>
        <w:t xml:space="preserve">“What Are Employers Looking for When Reviewing College Students’ Resumes?”</w:t>
      </w:r>
      <w:r>
        <w:t xml:space="preserve"> </w:t>
      </w:r>
      <w:r>
        <w:t xml:space="preserve">article,</w:t>
      </w:r>
      <w:r>
        <w:t xml:space="preserve"> </w:t>
      </w:r>
      <w:r>
        <w:t xml:space="preserve">“nearly 90% of employers … indicated they are seeking evidence of a student’s ability to solve problems and nearly 80% are seeking candidates who have strong teamwork skills.”</w:t>
      </w:r>
      <w:r>
        <w:t xml:space="preserve"> </w:t>
      </w:r>
      <w:r>
        <w:t xml:space="preserve">More than three-quarters cite communication.</w:t>
      </w:r>
    </w:p>
    <w:p>
      <w:pPr>
        <w:pStyle w:val="Compact"/>
        <w:numPr>
          <w:ilvl w:val="0"/>
          <w:numId w:val="1003"/>
        </w:numPr>
      </w:pPr>
      <w:r>
        <w:rPr>
          <w:b/>
          <w:bCs/>
        </w:rPr>
        <w:t xml:space="preserve">NACE Job Outlook 2026</w:t>
      </w:r>
      <w:r>
        <w:t xml:space="preserve"> </w:t>
      </w:r>
      <w:r>
        <w:t xml:space="preserve">(n=183 employers, data collected Aug–Sep 2025): 70% of employers now use skills-based hiring (up from 65%); 71% of these employers use it at least half the time; only 42% still screen by GPA (down from 73% in 2019).</w:t>
      </w:r>
    </w:p>
    <w:p>
      <w:pPr>
        <w:pStyle w:val="Compact"/>
        <w:numPr>
          <w:ilvl w:val="0"/>
          <w:numId w:val="1003"/>
        </w:numPr>
      </w:pPr>
      <w:r>
        <w:rPr>
          <w:b/>
          <w:bCs/>
        </w:rPr>
        <w:t xml:space="preserve">NACE student-vs-employer perception gaps</w:t>
      </w:r>
      <w:r>
        <w:t xml:space="preserve">: in NACE’s</w:t>
      </w:r>
      <w:r>
        <w:t xml:space="preserve"> </w:t>
      </w:r>
      <w:r>
        <w:t xml:space="preserve">“The Gap in Perceptions of New Grads’ Competency Proficiency”</w:t>
      </w:r>
      <w:r>
        <w:t xml:space="preserve"> </w:t>
      </w:r>
      <w:r>
        <w:t xml:space="preserve">(citing the 2024 Student Survey, n=20,482, and JO 2025),</w:t>
      </w:r>
      <w:r>
        <w:t xml:space="preserve"> </w:t>
      </w:r>
      <w:r>
        <w:t xml:space="preserve">“for leadership and professionalism the gap exceeds or approaches 30%, while for critical thinking and communication, it is approximately 25%.”</w:t>
      </w:r>
      <w:r>
        <w:t xml:space="preserve"> </w:t>
      </w:r>
      <w:r>
        <w:t xml:space="preserve">For professionalism specifically,</w:t>
      </w:r>
      <w:r>
        <w:t xml:space="preserve"> </w:t>
      </w:r>
      <w:r>
        <w:t xml:space="preserve">“84.6% of students and just 50% of employers perceive students to be</w:t>
      </w:r>
      <w:r>
        <w:t xml:space="preserve"> </w:t>
      </w:r>
      <w:r>
        <w:t xml:space="preserve">‘very or extremely’</w:t>
      </w:r>
      <w:r>
        <w:t xml:space="preserve"> </w:t>
      </w:r>
      <w:r>
        <w:t xml:space="preserve">proficient in this competency.”</w:t>
      </w:r>
    </w:p>
    <w:p>
      <w:pPr>
        <w:pStyle w:val="Compact"/>
        <w:numPr>
          <w:ilvl w:val="0"/>
          <w:numId w:val="1003"/>
        </w:numPr>
      </w:pPr>
      <w:r>
        <w:rPr>
          <w:b/>
          <w:bCs/>
        </w:rPr>
        <w:t xml:space="preserve">WEF</w:t>
      </w:r>
      <w:r>
        <w:rPr>
          <w:b/>
          <w:bCs/>
        </w:rPr>
        <w:t xml:space="preserve"> </w:t>
      </w:r>
      <w:r>
        <w:rPr>
          <w:b/>
          <w:bCs/>
          <w:i/>
          <w:iCs/>
        </w:rPr>
        <w:t xml:space="preserve">Future of Jobs Report 2025</w:t>
      </w:r>
      <w:r>
        <w:t xml:space="preserve"> </w:t>
      </w:r>
      <w:r>
        <w:t xml:space="preserve">(&gt;1,000 employers, ~14M workers, 55 economies):</w:t>
      </w:r>
      <w:r>
        <w:t xml:space="preserve"> </w:t>
      </w:r>
      <w:r>
        <w:t xml:space="preserve">“Analytical thinking remains the most sought-after core skill among employers, with seven out of 10 companies considering it as essential in 2025 … AI and big data top the list of fastest-growing skills.”</w:t>
      </w:r>
      <w:r>
        <w:t xml:space="preserve"> </w:t>
      </w:r>
      <w:r>
        <w:t xml:space="preserve">On skill churn:</w:t>
      </w:r>
      <w:r>
        <w:t xml:space="preserve"> </w:t>
      </w:r>
      <w:r>
        <w:t xml:space="preserve">“workers can expect that two-fifths (39%) of their existing skill sets will be transformed or become outdated over the 2025–2030 period.”</w:t>
      </w:r>
    </w:p>
    <w:p>
      <w:pPr>
        <w:pStyle w:val="Compact"/>
        <w:numPr>
          <w:ilvl w:val="0"/>
          <w:numId w:val="1003"/>
        </w:numPr>
      </w:pPr>
      <w:r>
        <w:rPr>
          <w:b/>
          <w:bCs/>
        </w:rPr>
        <w:t xml:space="preserve">Burning Glass Technologies,</w:t>
      </w:r>
      <w:r>
        <w:rPr>
          <w:b/>
          <w:bCs/>
        </w:rPr>
        <w:t xml:space="preserve"> </w:t>
      </w:r>
      <w:r>
        <w:rPr>
          <w:b/>
          <w:bCs/>
          <w:i/>
          <w:iCs/>
        </w:rPr>
        <w:t xml:space="preserve">The Hybrid Job Economy</w:t>
      </w:r>
      <w:r>
        <w:rPr>
          <w:b/>
          <w:bCs/>
        </w:rPr>
        <w:t xml:space="preserve"> </w:t>
      </w:r>
      <w:r>
        <w:rPr>
          <w:b/>
          <w:bCs/>
        </w:rPr>
        <w:t xml:space="preserve">(2019)</w:t>
      </w:r>
      <w:r>
        <w:t xml:space="preserve">: hybrid roles</w:t>
      </w:r>
      <w:r>
        <w:t xml:space="preserve"> </w:t>
      </w:r>
      <w:r>
        <w:t xml:space="preserve">“are projected to grow twice as fast as jobs overall (21% vs 10%),”</w:t>
      </w:r>
      <w:r>
        <w:t xml:space="preserve"> </w:t>
      </w:r>
      <w:r>
        <w:t xml:space="preserve">are</w:t>
      </w:r>
      <w:r>
        <w:t xml:space="preserve"> </w:t>
      </w:r>
      <w:r>
        <w:t xml:space="preserve">“20–40% higher-paying than their more-traditional counterparts,”</w:t>
      </w:r>
      <w:r>
        <w:t xml:space="preserve"> </w:t>
      </w:r>
      <w:r>
        <w:t xml:space="preserve">and (verbatim)</w:t>
      </w:r>
      <w:r>
        <w:t xml:space="preserve"> </w:t>
      </w:r>
      <w:r>
        <w:t xml:space="preserve">“The skills that drive hybridization fall into five key skill areas: Big Data and Analytics; Intersection of Design and Development; Sales and Customer Service; Emerging Digital Technologies; Evolving Compliance and Regulatory Landscape.”</w:t>
      </w:r>
      <w:r>
        <w:t xml:space="preserve"> </w:t>
      </w:r>
      <w:r>
        <w:t xml:space="preserve">Chairman Matt Sigelman:</w:t>
      </w:r>
      <w:r>
        <w:t xml:space="preserve"> </w:t>
      </w:r>
      <w:r>
        <w:t xml:space="preserve">“the most highly hybridized jobs are about three and a half times more likely to value creativity skills, about twice as likely to value collaboration skills.”</w:t>
      </w:r>
    </w:p>
    <w:p>
      <w:pPr>
        <w:pStyle w:val="Compact"/>
        <w:numPr>
          <w:ilvl w:val="0"/>
          <w:numId w:val="1003"/>
        </w:numPr>
      </w:pPr>
      <w:r>
        <w:rPr>
          <w:b/>
          <w:bCs/>
        </w:rPr>
        <w:t xml:space="preserve">IDEO / Tim Brown</w:t>
      </w:r>
      <w:r>
        <w:t xml:space="preserve"> </w:t>
      </w:r>
      <w:r>
        <w:t xml:space="preserve">(Chief Executive interview, 2010) popularized the T-shape: depth in a discipline plus</w:t>
      </w:r>
      <w:r>
        <w:t xml:space="preserve"> </w:t>
      </w:r>
      <w:r>
        <w:t xml:space="preserve">“the disposition for collaboration across disciplines”</w:t>
      </w:r>
      <w:r>
        <w:t xml:space="preserve"> </w:t>
      </w:r>
      <w:r>
        <w:t xml:space="preserve">— without which</w:t>
      </w:r>
      <w:r>
        <w:t xml:space="preserve"> </w:t>
      </w:r>
      <w:r>
        <w:t xml:space="preserve">“you get gray compromises where the best you can achieve is the lowest common denominator.”</w:t>
      </w:r>
      <w:r>
        <w:t xml:space="preserve"> </w:t>
      </w:r>
      <w:r>
        <w:t xml:space="preserve">Agile Alliance and Scrum Alliance both treat T-shaped, cross-functional individuals as the structural unit of modern software teams.</w:t>
      </w:r>
    </w:p>
    <w:p>
      <w:pPr>
        <w:pStyle w:val="Compact"/>
        <w:numPr>
          <w:ilvl w:val="0"/>
          <w:numId w:val="1004"/>
        </w:numPr>
      </w:pPr>
      <w:r>
        <w:rPr>
          <w:b/>
          <w:bCs/>
        </w:rPr>
        <w:t xml:space="preserve">Design–development integration is an established industry practice with named methodologies.</w:t>
      </w:r>
      <w:r>
        <w:t xml:space="preserve"> </w:t>
      </w:r>
      <w:r>
        <w:t xml:space="preserve">Google Ventures’ Design Sprint (Jake Knapp, 2010;</w:t>
      </w:r>
      <w:r>
        <w:t xml:space="preserve"> </w:t>
      </w:r>
      <w:r>
        <w:rPr>
          <w:i/>
          <w:iCs/>
        </w:rPr>
        <w:t xml:space="preserve">Sprint</w:t>
      </w:r>
      <w:r>
        <w:t xml:space="preserve">, Simon &amp; Schuster, 2016) institutionalizes a five-day cross-functional collaboration ritual now used at Google, Slack, Airbnb, Uber, LEGO, the New York Times, Stanford, Harvard Business School, and the United Nations. NN/g’s</w:t>
      </w:r>
      <w:r>
        <w:t xml:space="preserve"> </w:t>
      </w:r>
      <w:r>
        <w:t xml:space="preserve">“Building Strong Designer-Developer Relationships”</w:t>
      </w:r>
      <w:r>
        <w:t xml:space="preserve"> </w:t>
      </w:r>
      <w:r>
        <w:t xml:space="preserve">(Sarah Gibbons) argues that</w:t>
      </w:r>
      <w:r>
        <w:t xml:space="preserve"> </w:t>
      </w:r>
      <w:r>
        <w:t xml:space="preserve">“design and development teams should approach collaboration as co-owners of the product experience.”</w:t>
      </w:r>
      <w:r>
        <w:t xml:space="preserve"> </w:t>
      </w:r>
      <w:r>
        <w:t xml:space="preserve">Agile Alliance: cross-functional teams</w:t>
      </w:r>
      <w:r>
        <w:t xml:space="preserve"> </w:t>
      </w:r>
      <w:r>
        <w:t xml:space="preserve">“require regular touch points, such as sprint reviews or daily stand-ups, where each department provides updates and receives feedback”</w:t>
      </w:r>
      <w:r>
        <w:t xml:space="preserve"> </w:t>
      </w:r>
      <w:r>
        <w:t xml:space="preserve">— the same ceremonies a capstone should adopt.</w:t>
      </w:r>
    </w:p>
    <w:p>
      <w:pPr>
        <w:pStyle w:val="Compact"/>
        <w:numPr>
          <w:ilvl w:val="0"/>
          <w:numId w:val="1004"/>
        </w:numPr>
      </w:pPr>
      <w:r>
        <w:rPr>
          <w:b/>
          <w:bCs/>
        </w:rPr>
        <w:t xml:space="preserve">The framework satisfies AAC&amp;U high-impact-practice criteria and community-college CTE program-review requirements.</w:t>
      </w:r>
      <w:r>
        <w:t xml:space="preserve"> </w:t>
      </w:r>
      <w:r>
        <w:t xml:space="preserve">AAC&amp;U/Kuh recognize</w:t>
      </w:r>
      <w:r>
        <w:t xml:space="preserve"> </w:t>
      </w:r>
      <w:r>
        <w:rPr>
          <w:i/>
          <w:iCs/>
        </w:rPr>
        <w:t xml:space="preserve">Capstone Courses and Projects</w:t>
      </w:r>
      <w:r>
        <w:t xml:space="preserve"> </w:t>
      </w:r>
      <w:r>
        <w:t xml:space="preserve">and</w:t>
      </w:r>
      <w:r>
        <w:t xml:space="preserve"> </w:t>
      </w:r>
      <w:r>
        <w:rPr>
          <w:i/>
          <w:iCs/>
        </w:rPr>
        <w:t xml:space="preserve">Collaborative Assignments and Projects</w:t>
      </w:r>
      <w:r>
        <w:t xml:space="preserve"> </w:t>
      </w:r>
      <w:r>
        <w:t xml:space="preserve">as two of the eleven evidence-based HIPs (Kuh,</w:t>
      </w:r>
      <w:r>
        <w:t xml:space="preserve"> </w:t>
      </w:r>
      <w:r>
        <w:rPr>
          <w:i/>
          <w:iCs/>
        </w:rPr>
        <w:t xml:space="preserve">High-Impact Educational Practices: What They Are, Who Has Access to Them, and Why They Matter</w:t>
      </w:r>
      <w:r>
        <w:t xml:space="preserve">, AAC&amp;U, 2008; Kuh &amp; O’Donnell,</w:t>
      </w:r>
      <w:r>
        <w:t xml:space="preserve"> </w:t>
      </w:r>
      <w:r>
        <w:rPr>
          <w:i/>
          <w:iCs/>
        </w:rPr>
        <w:t xml:space="preserve">Ensuring Quality &amp; Taking High-Impact Practices to Scale</w:t>
      </w:r>
      <w:r>
        <w:t xml:space="preserve">, 2013). The Iowa Department of Education’s</w:t>
      </w:r>
      <w:r>
        <w:t xml:space="preserve"> </w:t>
      </w:r>
      <w:r>
        <w:rPr>
          <w:i/>
          <w:iCs/>
        </w:rPr>
        <w:t xml:space="preserve">Community College CTE Program Review Toolkit</w:t>
      </w:r>
      <w:r>
        <w:t xml:space="preserve"> </w:t>
      </w:r>
      <w:r>
        <w:t xml:space="preserve">(July 2025) explicitly asks programs to describe</w:t>
      </w:r>
      <w:r>
        <w:t xml:space="preserve"> </w:t>
      </w:r>
      <w:r>
        <w:t xml:space="preserve">“how the curriculum allows for interdisciplinary learning opportunities, such as collaboration between different departments or fields of study, to reflect the integrated nature of many modern”</w:t>
      </w:r>
      <w:r>
        <w:t xml:space="preserve"> </w:t>
      </w:r>
      <w:r>
        <w:t xml:space="preserve">workplaces — a question this capstone framework answers directly.</w:t>
      </w:r>
    </w:p>
    <w:p>
      <w:r>
        <w:pict>
          <v:rect style="width:0;height:1.5pt" o:hralign="center" o:hrstd="t" o:hr="t"/>
        </w:pict>
      </w:r>
    </w:p>
    <w:bookmarkEnd w:id="10"/>
    <w:bookmarkStart w:id="19" w:name="details"/>
    <w:p>
      <w:pPr>
        <w:pStyle w:val="Heading2"/>
      </w:pPr>
      <w:r>
        <w:t xml:space="preserve">Details</w:t>
      </w:r>
    </w:p>
    <w:bookmarkStart w:id="11" w:name="X79eb96e2725ab2af4e1bc75fd251c6fa040c30b"/>
    <w:p>
      <w:pPr>
        <w:pStyle w:val="Heading3"/>
      </w:pPr>
      <w:r>
        <w:t xml:space="preserve">1. Cross-disciplinary project-based learning (CS × Design)</w:t>
      </w:r>
    </w:p>
    <w:p>
      <w:pPr>
        <w:pStyle w:val="FirstParagraph"/>
      </w:pPr>
      <w:r>
        <w:t xml:space="preserve">The strongest direct evidence comes from peer-reviewed CS-education venues:</w:t>
      </w:r>
    </w:p>
    <w:p>
      <w:pPr>
        <w:pStyle w:val="Compact"/>
        <w:numPr>
          <w:ilvl w:val="0"/>
          <w:numId w:val="1005"/>
        </w:numPr>
      </w:pPr>
      <w:r>
        <w:rPr>
          <w:b/>
          <w:bCs/>
        </w:rPr>
        <w:t xml:space="preserve">Heines, J. M., Jeffers, J., &amp; Kuhn, S. (2008).</w:t>
      </w:r>
      <w:r>
        <w:t xml:space="preserve"> </w:t>
      </w:r>
      <w:r>
        <w:t xml:space="preserve">“Performamatics: Experiences With Connecting a Computer Science Course to a Design Arts Course.”</w:t>
      </w:r>
      <w:r>
        <w:t xml:space="preserve"> </w:t>
      </w:r>
      <w:r>
        <w:rPr>
          <w:i/>
          <w:iCs/>
        </w:rPr>
        <w:t xml:space="preserve">International Journal of Learning</w:t>
      </w:r>
      <w:r>
        <w:t xml:space="preserve"> </w:t>
      </w:r>
      <w:r>
        <w:t xml:space="preserve">15(2):9–16. This is the closest published analog to the proposed framework: a CS course was paired with a Design Arts course, with interdisciplinary teams producing joint software/performance work. The authors report (verbatim) that</w:t>
      </w:r>
      <w:r>
        <w:t xml:space="preserve"> </w:t>
      </w:r>
      <w:r>
        <w:t xml:space="preserve">“the impact on CS students was considerably more positive than on Art students and discuss why that may have been so”</w:t>
      </w:r>
      <w:r>
        <w:t xml:space="preserve"> </w:t>
      </w:r>
      <w:r>
        <w:t xml:space="preserve">— an empirical finding faculty should plan for (asymmetric perceived gains require deliberate counter-design in the rubric and project scoping).</w:t>
      </w:r>
    </w:p>
    <w:p>
      <w:pPr>
        <w:pStyle w:val="Compact"/>
        <w:numPr>
          <w:ilvl w:val="0"/>
          <w:numId w:val="1005"/>
        </w:numPr>
      </w:pPr>
      <w:r>
        <w:rPr>
          <w:b/>
          <w:bCs/>
        </w:rPr>
        <w:t xml:space="preserve">McDonald, J. &amp; Wolfe, R. (2008).</w:t>
      </w:r>
      <w:r>
        <w:t xml:space="preserve"> </w:t>
      </w:r>
      <w:r>
        <w:t xml:space="preserve">“Using computer graphics to foster interdisciplinary collaboration in capstone courses.”</w:t>
      </w:r>
      <w:r>
        <w:t xml:space="preserve"> </w:t>
      </w:r>
      <w:r>
        <w:rPr>
          <w:i/>
          <w:iCs/>
        </w:rPr>
        <w:t xml:space="preserve">Journal of Computing Sciences in Colleges</w:t>
      </w:r>
      <w:r>
        <w:t xml:space="preserve"> </w:t>
      </w:r>
      <w:r>
        <w:t xml:space="preserve">24(1):83–90 (DePaul). The course became foundational for DePaul’s CS+Animation BS, with explicit alignment to industry teamwork expectations.</w:t>
      </w:r>
    </w:p>
    <w:p>
      <w:pPr>
        <w:pStyle w:val="Compact"/>
        <w:numPr>
          <w:ilvl w:val="0"/>
          <w:numId w:val="1005"/>
        </w:numPr>
      </w:pPr>
      <w:r>
        <w:rPr>
          <w:b/>
          <w:bCs/>
        </w:rPr>
        <w:t xml:space="preserve">Martin, F., Greher, G., Heines, J., Jeffers, J., Kim, H. J., Kuhn, S., Roehr, K., Selleck, N., Silka, L., &amp; Yanco, H. (2009).</w:t>
      </w:r>
      <w:r>
        <w:t xml:space="preserve"> </w:t>
      </w:r>
      <w:r>
        <w:t xml:space="preserve">“Joining Computing and the Arts at a Mid-Size University.”</w:t>
      </w:r>
      <w:r>
        <w:t xml:space="preserve"> </w:t>
      </w:r>
      <w:r>
        <w:rPr>
          <w:i/>
          <w:iCs/>
        </w:rPr>
        <w:t xml:space="preserve">Journal of Computing Sciences in Colleges</w:t>
      </w:r>
      <w:r>
        <w:t xml:space="preserve"> </w:t>
      </w:r>
      <w:r>
        <w:t xml:space="preserve">24(6):87–94 — multi-course findings from the NSF CPATH-funded Performamatics initiative at UMass Lowell.</w:t>
      </w:r>
    </w:p>
    <w:p>
      <w:pPr>
        <w:pStyle w:val="Compact"/>
        <w:numPr>
          <w:ilvl w:val="0"/>
          <w:numId w:val="1005"/>
        </w:numPr>
      </w:pPr>
      <w:r>
        <w:rPr>
          <w:b/>
          <w:bCs/>
        </w:rPr>
        <w:t xml:space="preserve">Heines, J. M., Greher, G. R., &amp; Kuhn, S. (2009).</w:t>
      </w:r>
      <w:r>
        <w:t xml:space="preserve"> </w:t>
      </w:r>
      <w:r>
        <w:t xml:space="preserve">“Music Performamatics: Interdisciplinary Interaction.”</w:t>
      </w:r>
      <w:r>
        <w:t xml:space="preserve"> </w:t>
      </w:r>
      <w:r>
        <w:t xml:space="preserve">SIGCSE ’09, DOI 10.1145/1508865.1509029 — found that the integration of music and CS</w:t>
      </w:r>
      <w:r>
        <w:t xml:space="preserve"> </w:t>
      </w:r>
      <w:r>
        <w:t xml:space="preserve">“enhanced students’ appreciation, motivation, and engagement in the learning process.”</w:t>
      </w:r>
    </w:p>
    <w:p>
      <w:pPr>
        <w:pStyle w:val="Compact"/>
        <w:numPr>
          <w:ilvl w:val="0"/>
          <w:numId w:val="1005"/>
        </w:numPr>
      </w:pPr>
      <w:r>
        <w:rPr>
          <w:b/>
          <w:bCs/>
        </w:rPr>
        <w:t xml:space="preserve">Hutter, L., Lawrence, H. M., McDaniel, M., &amp; Murrell, M. (2018).</w:t>
      </w:r>
      <w:r>
        <w:t xml:space="preserve"> </w:t>
      </w:r>
      <w:r>
        <w:t xml:space="preserve">“Fostering Meaningful Collaboration in an Interdisciplinary Capstone Course.”</w:t>
      </w:r>
      <w:r>
        <w:t xml:space="preserve"> </w:t>
      </w:r>
      <w:r>
        <w:t xml:space="preserve">Panel, SIGCSE ’18, DOI 10.1145/3159450.3159625. Documents the Georgia Tech CS Junior Design / Tech Comm sequence (CS 3311/3312 ↔ LMC 3431/3432), serving 400–600 CS students per semester. The authors contrast the</w:t>
      </w:r>
      <w:r>
        <w:t xml:space="preserve"> </w:t>
      </w:r>
      <w:r>
        <w:t xml:space="preserve">“sum of all the disciplinary parts”</w:t>
      </w:r>
      <w:r>
        <w:t xml:space="preserve"> </w:t>
      </w:r>
      <w:r>
        <w:t xml:space="preserve">approach unfavorably against true integration</w:t>
      </w:r>
      <w:r>
        <w:t xml:space="preserve"> </w:t>
      </w:r>
      <w:r>
        <w:t xml:space="preserve">“from the inside out, resulting in the exchange of differing opinions and varying backgrounds of work and style and a smoother end product.”</w:t>
      </w:r>
    </w:p>
    <w:p>
      <w:pPr>
        <w:pStyle w:val="FirstParagraph"/>
      </w:pPr>
      <w:r>
        <w:t xml:space="preserve">Broader multi-disciplinary capstone evidence — e.g., the Texas A&amp;M Texarkana comparative analysis of multidisciplinary capstones across EE/ME/CS (2024) and the IEEE PjBL guest editorial special issue — corroborates that PjBL capstones improve student perceptions of authenticity, project ownership, and applied learning. The literature also reports an important boundary condition: PjBL outcomes depend on how the course balances Fixed↔Flexible and Individualistic↔Cooperative dimensions, which is precisely what a structured rubric and milestone framework address.</w:t>
      </w:r>
    </w:p>
    <w:bookmarkEnd w:id="11"/>
    <w:bookmarkStart w:id="12" w:name="X6204b87352bff5aae992198b17ca6c8d7041e48"/>
    <w:p>
      <w:pPr>
        <w:pStyle w:val="Heading3"/>
      </w:pPr>
      <w:r>
        <w:t xml:space="preserve">2. Structured creative briefs and formal handoff documentation</w:t>
      </w:r>
    </w:p>
    <w:p>
      <w:pPr>
        <w:pStyle w:val="FirstParagraph"/>
      </w:pPr>
      <w:r>
        <w:t xml:space="preserve">The industry-practice consensus is unambiguous and converges across practitioner authorities:</w:t>
      </w:r>
    </w:p>
    <w:p>
      <w:pPr>
        <w:pStyle w:val="Compact"/>
        <w:numPr>
          <w:ilvl w:val="0"/>
          <w:numId w:val="1006"/>
        </w:numPr>
      </w:pPr>
      <w:r>
        <w:rPr>
          <w:b/>
          <w:bCs/>
        </w:rPr>
        <w:t xml:space="preserve">Nielsen Norman Group — Gordon, K.</w:t>
      </w:r>
      <w:r>
        <w:t xml:space="preserve"> </w:t>
      </w:r>
      <w:r>
        <w:t xml:space="preserve">“Creating Design Specs for Development”</w:t>
      </w:r>
      <w:r>
        <w:t xml:space="preserve"> </w:t>
      </w:r>
      <w:r>
        <w:t xml:space="preserve">(NN/g, June 20, 2025): specs</w:t>
      </w:r>
      <w:r>
        <w:t xml:space="preserve"> </w:t>
      </w:r>
      <w:r>
        <w:t xml:space="preserve">“provide all relevant information needed to align the design and development teams.”</w:t>
      </w:r>
      <w:r>
        <w:t xml:space="preserve"> </w:t>
      </w:r>
      <w:r>
        <w:t xml:space="preserve">Article frames the development ticket as</w:t>
      </w:r>
      <w:r>
        <w:t xml:space="preserve"> </w:t>
      </w:r>
      <w:r>
        <w:t xml:space="preserve">“a</w:t>
      </w:r>
      <w:r>
        <w:t xml:space="preserve"> </w:t>
      </w:r>
      <w:r>
        <w:t xml:space="preserve">‘contract’</w:t>
      </w:r>
      <w:r>
        <w:t xml:space="preserve"> </w:t>
      </w:r>
      <w:r>
        <w:t xml:space="preserve">between the dev and design teams. What is outlined in the issue is what the developer is on the hook for delivering.”</w:t>
      </w:r>
    </w:p>
    <w:p>
      <w:pPr>
        <w:pStyle w:val="Compact"/>
        <w:numPr>
          <w:ilvl w:val="0"/>
          <w:numId w:val="1006"/>
        </w:numPr>
      </w:pPr>
      <w:r>
        <w:rPr>
          <w:b/>
          <w:bCs/>
        </w:rPr>
        <w:t xml:space="preserve">NN/g — Use Good Prototype Specifications to Empower Team Collaboration</w:t>
      </w:r>
      <w:r>
        <w:t xml:space="preserve">:</w:t>
      </w:r>
      <w:r>
        <w:t xml:space="preserve"> </w:t>
      </w:r>
      <w:r>
        <w:t xml:space="preserve">“Clear prototype specifications empower team collaboration and lower communication costs.”</w:t>
      </w:r>
    </w:p>
    <w:p>
      <w:pPr>
        <w:pStyle w:val="Compact"/>
        <w:numPr>
          <w:ilvl w:val="0"/>
          <w:numId w:val="1006"/>
        </w:numPr>
      </w:pPr>
      <w:r>
        <w:rPr>
          <w:b/>
          <w:bCs/>
        </w:rPr>
        <w:t xml:space="preserve">NN/g — Gibbons, S.</w:t>
      </w:r>
      <w:r>
        <w:t xml:space="preserve"> </w:t>
      </w:r>
      <w:r>
        <w:t xml:space="preserve">“Building Strong Designer-Developer Relationships”</w:t>
      </w:r>
      <w:r>
        <w:t xml:space="preserve">: designers and developers as</w:t>
      </w:r>
      <w:r>
        <w:t xml:space="preserve"> </w:t>
      </w:r>
      <w:r>
        <w:t xml:space="preserve">“co-owners of the product experience.”</w:t>
      </w:r>
    </w:p>
    <w:p>
      <w:pPr>
        <w:pStyle w:val="Compact"/>
        <w:numPr>
          <w:ilvl w:val="0"/>
          <w:numId w:val="1006"/>
        </w:numPr>
      </w:pPr>
      <w:r>
        <w:rPr>
          <w:b/>
          <w:bCs/>
        </w:rPr>
        <w:t xml:space="preserve">Interaction Design Foundation</w:t>
      </w:r>
      <w:r>
        <w:t xml:space="preserve"> </w:t>
      </w:r>
      <w:r>
        <w:t xml:space="preserve">(handoff curriculum, updated 2026): catalogues common handoff failures — disorganized files, vague specifications, missing prototypes, designing only for ideal scenarios — and recommends explicit error-state, empty-state, and edge-case documentation.</w:t>
      </w:r>
    </w:p>
    <w:p>
      <w:pPr>
        <w:pStyle w:val="Compact"/>
        <w:numPr>
          <w:ilvl w:val="0"/>
          <w:numId w:val="1006"/>
        </w:numPr>
      </w:pPr>
      <w:r>
        <w:rPr>
          <w:b/>
          <w:bCs/>
        </w:rPr>
        <w:t xml:space="preserve">Practitioner sources</w:t>
      </w:r>
      <w:r>
        <w:t xml:space="preserve"> </w:t>
      </w:r>
      <w:r>
        <w:t xml:space="preserve">report that an estimated 71% of leaders cite tool-switching friction during handoff (Miro design-handoff literature; treat as illustrative industry consensus, not peer-reviewed). Vendor literature (monday.com) cites a</w:t>
      </w:r>
      <w:r>
        <w:t xml:space="preserve"> </w:t>
      </w:r>
      <w:r>
        <w:t xml:space="preserve">“15% error reduction from structured inputs”</w:t>
      </w:r>
      <w:r>
        <w:t xml:space="preserve">; use as illustrative.</w:t>
      </w:r>
    </w:p>
    <w:p>
      <w:pPr>
        <w:pStyle w:val="FirstParagraph"/>
      </w:pPr>
      <w:r>
        <w:rPr>
          <w:b/>
          <w:bCs/>
        </w:rPr>
        <w:t xml:space="preserve">Implication for the capstone:</w:t>
      </w:r>
      <w:r>
        <w:t xml:space="preserve"> </w:t>
      </w:r>
      <w:r>
        <w:t xml:space="preserve">a written creative brief and a milestone-tied handoff document are not academic artifices — they are the artifacts professional teams actually produce, and the failure modes the industry literature warns about (vague specs, missing assets,</w:t>
      </w:r>
      <w:r>
        <w:t xml:space="preserve"> </w:t>
      </w:r>
      <w:r>
        <w:t xml:space="preserve">“over-the-wall”</w:t>
      </w:r>
      <w:r>
        <w:t xml:space="preserve"> </w:t>
      </w:r>
      <w:r>
        <w:t xml:space="preserve">sequencing) are exactly the failure modes the rubric should penalize.</w:t>
      </w:r>
    </w:p>
    <w:bookmarkEnd w:id="12"/>
    <w:bookmarkStart w:id="13" w:name="milestone-based-collaboration-frameworks"/>
    <w:p>
      <w:pPr>
        <w:pStyle w:val="Heading3"/>
      </w:pPr>
      <w:r>
        <w:t xml:space="preserve">3. Milestone-based collaboration frameworks</w:t>
      </w:r>
    </w:p>
    <w:p>
      <w:pPr>
        <w:pStyle w:val="FirstParagraph"/>
      </w:pPr>
      <w:r>
        <w:t xml:space="preserve">Project-management literature treats milestones as the principal vehicle for accountability, stakeholder communication, and outcome-based execution. Atlassian’s milestone-chart guidance and Teamwork.com both emphasize that without explicit checkpoints, schedules lose meaning. In agile contexts, Agile Alliance recommends</w:t>
      </w:r>
      <w:r>
        <w:t xml:space="preserve"> </w:t>
      </w:r>
      <w:r>
        <w:t xml:space="preserve">“regular touch points, such as sprint reviews or daily stand-ups,”</w:t>
      </w:r>
      <w:r>
        <w:t xml:space="preserve"> </w:t>
      </w:r>
      <w:r>
        <w:t xml:space="preserve">to keep cross-functional teams aligned. For student teams — where accountability is often the weakest link — milestones provide three documented benefits: (a) a defensible basis for formative assessment, (b) stakeholder visibility for cross-departmental faculty, and (c) early identification of slip risk before final-deliverable failure.</w:t>
      </w:r>
    </w:p>
    <w:bookmarkEnd w:id="13"/>
    <w:bookmarkStart w:id="14" w:name="scrumagile-in-educational-settings"/>
    <w:p>
      <w:pPr>
        <w:pStyle w:val="Heading3"/>
      </w:pPr>
      <w:r>
        <w:t xml:space="preserve">4. Scrum/agile in educational settings</w:t>
      </w:r>
    </w:p>
    <w:p>
      <w:pPr>
        <w:pStyle w:val="Compact"/>
        <w:numPr>
          <w:ilvl w:val="0"/>
          <w:numId w:val="1007"/>
        </w:numPr>
      </w:pPr>
      <w:r>
        <w:rPr>
          <w:b/>
          <w:bCs/>
        </w:rPr>
        <w:t xml:space="preserve">Mahnič, V. (2012).</w:t>
      </w:r>
      <w:r>
        <w:t xml:space="preserve"> </w:t>
      </w:r>
      <w:r>
        <w:t xml:space="preserve">“A Capstone Course on Agile Software Development Using Scrum.”</w:t>
      </w:r>
      <w:r>
        <w:t xml:space="preserve"> </w:t>
      </w:r>
      <w:r>
        <w:rPr>
          <w:i/>
          <w:iCs/>
        </w:rPr>
        <w:t xml:space="preserve">IEEE Transactions on Education</w:t>
      </w:r>
      <w:r>
        <w:t xml:space="preserve"> </w:t>
      </w:r>
      <w:r>
        <w:t xml:space="preserve">55(1) (Feb 2012), DOI 10.1109/TE.2011.2142311. The most-cited empirical study; documents Scrum-team capstones at University of Ljubljana, with measurable progress in estimation and planning and overwhelmingly positive student perceptions tied to employability.</w:t>
      </w:r>
    </w:p>
    <w:p>
      <w:pPr>
        <w:pStyle w:val="Compact"/>
        <w:numPr>
          <w:ilvl w:val="0"/>
          <w:numId w:val="1007"/>
        </w:numPr>
      </w:pPr>
      <w:r>
        <w:rPr>
          <w:b/>
          <w:bCs/>
        </w:rPr>
        <w:t xml:space="preserve">Matthies, C. (2018).</w:t>
      </w:r>
      <w:r>
        <w:t xml:space="preserve"> </w:t>
      </w:r>
      <w:r>
        <w:t xml:space="preserve">“Scrum2Kanban: Integrating Kanban and Scrum in a University Software Engineering Capstone Course.”</w:t>
      </w:r>
      <w:r>
        <w:t xml:space="preserve"> </w:t>
      </w:r>
      <w:r>
        <w:t xml:space="preserve">IEEE/ACM SEEM ’18 (arXiv:1804.03412).</w:t>
      </w:r>
    </w:p>
    <w:p>
      <w:pPr>
        <w:pStyle w:val="Compact"/>
        <w:numPr>
          <w:ilvl w:val="0"/>
          <w:numId w:val="1007"/>
        </w:numPr>
      </w:pPr>
      <w:r>
        <w:rPr>
          <w:b/>
          <w:bCs/>
        </w:rPr>
        <w:t xml:space="preserve">TechFAR Hub / U.S. Digital Service</w:t>
      </w:r>
      <w:r>
        <w:t xml:space="preserve"> </w:t>
      </w:r>
      <w:r>
        <w:t xml:space="preserve">(federal agile-team guidance):</w:t>
      </w:r>
      <w:r>
        <w:t xml:space="preserve"> </w:t>
      </w:r>
      <w:r>
        <w:t xml:space="preserve">“developers and tester roles should be cross functional individuals who are able to work either position”</w:t>
      </w:r>
      <w:r>
        <w:t xml:space="preserve"> </w:t>
      </w:r>
      <w:r>
        <w:t xml:space="preserve">— institutional confirmation that government and industry teams now expect this skill set.</w:t>
      </w:r>
    </w:p>
    <w:p>
      <w:pPr>
        <w:pStyle w:val="FirstParagraph"/>
      </w:pPr>
      <w:r>
        <w:rPr>
          <w:b/>
          <w:bCs/>
        </w:rPr>
        <w:t xml:space="preserve">Operational implication:</w:t>
      </w:r>
      <w:r>
        <w:t xml:space="preserve"> </w:t>
      </w:r>
      <w:r>
        <w:t xml:space="preserve">Adopting sprint planning, daily stand-ups (even abbreviated), sprint reviews, and retrospectives in the capstone is not pedagogical fashion; it is the dominant practice of the industries CS and design graduates enter.</w:t>
      </w:r>
    </w:p>
    <w:bookmarkEnd w:id="14"/>
    <w:bookmarkStart w:id="15" w:name="shared-joint-assessment-rubrics"/>
    <w:p>
      <w:pPr>
        <w:pStyle w:val="Heading3"/>
      </w:pPr>
      <w:r>
        <w:t xml:space="preserve">5. Shared / joint assessment rubrics</w:t>
      </w:r>
    </w:p>
    <w:p>
      <w:pPr>
        <w:pStyle w:val="FirstParagraph"/>
      </w:pPr>
      <w:r>
        <w:t xml:space="preserve">The Interprofessional Collaborator Assessment Rubric (Curran et al., grounded in WHO 2010) is the most-cited validated example of a rubric that evaluates collaboration as a competency, not a byproduct. The rubric-effects literature (Jonsson &amp; Svingby, 2007,</w:t>
      </w:r>
      <w:r>
        <w:t xml:space="preserve"> </w:t>
      </w:r>
      <w:r>
        <w:rPr>
          <w:i/>
          <w:iCs/>
        </w:rPr>
        <w:t xml:space="preserve">Educational Research Review</w:t>
      </w:r>
      <w:r>
        <w:t xml:space="preserve"> </w:t>
      </w:r>
      <w:r>
        <w:t xml:space="preserve">2(2):130–144; Panadero et al. 2024 meta-analysis,</w:t>
      </w:r>
      <w:r>
        <w:t xml:space="preserve"> </w:t>
      </w:r>
      <w:r>
        <w:rPr>
          <w:i/>
          <w:iCs/>
        </w:rPr>
        <w:t xml:space="preserve">Educational Psychology Review</w:t>
      </w:r>
      <w:r>
        <w:t xml:space="preserve">, g = 0.45 effect on academic performance) supports that rubrics promote student learning when criteria are made explicit in advance. In interdisciplinary capstones specifically, best practice is a rubric that separately scores (a) individual disciplinary craft, (b) collaboration behaviors, and (c) integration quality of the joint artifact — a structure that mitigates the</w:t>
      </w:r>
      <w:r>
        <w:t xml:space="preserve"> </w:t>
      </w:r>
      <w:r>
        <w:t xml:space="preserve">“one person carries the load”</w:t>
      </w:r>
      <w:r>
        <w:t xml:space="preserve"> </w:t>
      </w:r>
      <w:r>
        <w:t xml:space="preserve">failure mode that NACE-aligned career-readiness commentary (Extern, 2025, citing NACE JO 2025) identifies as the dominant pathology of group projects.</w:t>
      </w:r>
    </w:p>
    <w:bookmarkEnd w:id="15"/>
    <w:bookmarkStart w:id="16" w:name="Xa899fbb2da90a02de5f63f9a03418777ed9b567"/>
    <w:p>
      <w:pPr>
        <w:pStyle w:val="Heading3"/>
      </w:pPr>
      <w:r>
        <w:t xml:space="preserve">6. T-shaped skills and cross-functional employability</w:t>
      </w:r>
    </w:p>
    <w:p>
      <w:pPr>
        <w:pStyle w:val="Compact"/>
        <w:numPr>
          <w:ilvl w:val="0"/>
          <w:numId w:val="1008"/>
        </w:numPr>
      </w:pPr>
      <w:r>
        <w:rPr>
          <w:b/>
          <w:bCs/>
        </w:rPr>
        <w:t xml:space="preserve">NACE Job Outlook 2025 / 2026</w:t>
      </w:r>
      <w:r>
        <w:t xml:space="preserve"> </w:t>
      </w:r>
      <w:r>
        <w:t xml:space="preserve">(National Association of Colleges and Employers): problem-solving (nearly 90%), teamwork (nearly 80%), communication (&gt;75%); 70% of employers in JO 2026 use skills-based hiring, only 42% still screen by GPA.</w:t>
      </w:r>
    </w:p>
    <w:p>
      <w:pPr>
        <w:pStyle w:val="Compact"/>
        <w:numPr>
          <w:ilvl w:val="0"/>
          <w:numId w:val="1008"/>
        </w:numPr>
      </w:pPr>
      <w:r>
        <w:rPr>
          <w:b/>
          <w:bCs/>
        </w:rPr>
        <w:t xml:space="preserve">NACE 2024 Student Survey (n=20,482) vs. Job Outlook 2025</w:t>
      </w:r>
      <w:r>
        <w:t xml:space="preserve">: for leadership and professionalism the perception gap exceeds or approaches 30 percentage points; for critical thinking and communication it is roughly 25 points — making structured cross-functional projects with formal feedback particularly valuable for community-college students.</w:t>
      </w:r>
    </w:p>
    <w:p>
      <w:pPr>
        <w:pStyle w:val="Compact"/>
        <w:numPr>
          <w:ilvl w:val="0"/>
          <w:numId w:val="1008"/>
        </w:numPr>
      </w:pPr>
      <w:r>
        <w:rPr>
          <w:b/>
          <w:bCs/>
        </w:rPr>
        <w:t xml:space="preserve">World Economic Forum,</w:t>
      </w:r>
      <w:r>
        <w:rPr>
          <w:b/>
          <w:bCs/>
        </w:rPr>
        <w:t xml:space="preserve"> </w:t>
      </w:r>
      <w:r>
        <w:rPr>
          <w:b/>
          <w:bCs/>
          <w:i/>
          <w:iCs/>
        </w:rPr>
        <w:t xml:space="preserve">Future of Jobs Report 2025</w:t>
      </w:r>
      <w:r>
        <w:t xml:space="preserve"> </w:t>
      </w:r>
      <w:r>
        <w:t xml:space="preserve">(Jan 2025):</w:t>
      </w:r>
      <w:r>
        <w:t xml:space="preserve"> </w:t>
      </w:r>
      <w:r>
        <w:t xml:space="preserve">“Analytical thinking remains the most sought-after core skill among employers, with seven out of 10 companies considering it as essential in 2025 … AI and big data top the list of fastest-growing skills.”</w:t>
      </w:r>
      <w:r>
        <w:t xml:space="preserve"> </w:t>
      </w:r>
      <w:r>
        <w:t xml:space="preserve">WEF:</w:t>
      </w:r>
      <w:r>
        <w:t xml:space="preserve"> </w:t>
      </w:r>
      <w:r>
        <w:t xml:space="preserve">“workers can expect that two-fifths (39%) of their existing skill sets will be transformed or become outdated over the 2025–2030 period.”</w:t>
      </w:r>
    </w:p>
    <w:p>
      <w:pPr>
        <w:pStyle w:val="Compact"/>
        <w:numPr>
          <w:ilvl w:val="0"/>
          <w:numId w:val="1008"/>
        </w:numPr>
      </w:pPr>
      <w:r>
        <w:rPr>
          <w:b/>
          <w:bCs/>
        </w:rPr>
        <w:t xml:space="preserve">Burning Glass / Lightcast (Sigelman),</w:t>
      </w:r>
      <w:r>
        <w:rPr>
          <w:b/>
          <w:bCs/>
        </w:rPr>
        <w:t xml:space="preserve"> </w:t>
      </w:r>
      <w:r>
        <w:rPr>
          <w:b/>
          <w:bCs/>
          <w:i/>
          <w:iCs/>
        </w:rPr>
        <w:t xml:space="preserve">The Hybrid Job Economy</w:t>
      </w:r>
      <w:r>
        <w:rPr>
          <w:b/>
          <w:bCs/>
        </w:rPr>
        <w:t xml:space="preserve"> </w:t>
      </w:r>
      <w:r>
        <w:rPr>
          <w:b/>
          <w:bCs/>
        </w:rPr>
        <w:t xml:space="preserve">(2019)</w:t>
      </w:r>
      <w:r>
        <w:t xml:space="preserve">:</w:t>
      </w:r>
      <w:r>
        <w:t xml:space="preserve"> </w:t>
      </w:r>
      <w:r>
        <w:t xml:space="preserve">“the most highly hybridized jobs are about three and a half times more likely to value creativity skills, about twice as likely to value collaboration skills”</w:t>
      </w:r>
      <w:r>
        <w:t xml:space="preserve">; hybrid roles grow at ~2× the rate of the overall job market and pay 20–40% more. Verbatim:</w:t>
      </w:r>
      <w:r>
        <w:t xml:space="preserve"> </w:t>
      </w:r>
      <w:r>
        <w:t xml:space="preserve">“The skills that drive hybridization fall into five key skill areas: Big Data and Analytics; Intersection of Design and Development; Sales and Customer Service; Emerging Digital Technologies; Evolving Compliance and Regulatory Landscape.”</w:t>
      </w:r>
    </w:p>
    <w:p>
      <w:pPr>
        <w:pStyle w:val="Compact"/>
        <w:numPr>
          <w:ilvl w:val="0"/>
          <w:numId w:val="1008"/>
        </w:numPr>
      </w:pPr>
      <w:r>
        <w:rPr>
          <w:b/>
          <w:bCs/>
        </w:rPr>
        <w:t xml:space="preserve">IDEO / Tim Brown</w:t>
      </w:r>
      <w:r>
        <w:t xml:space="preserve"> </w:t>
      </w:r>
      <w:r>
        <w:t xml:space="preserve">(Chief Executive interview, 2010): the T-shape requires both</w:t>
      </w:r>
      <w:r>
        <w:t xml:space="preserve"> </w:t>
      </w:r>
      <w:r>
        <w:t xml:space="preserve">“a depth of skill that allows them to contribute to the creative process”</w:t>
      </w:r>
      <w:r>
        <w:t xml:space="preserve"> </w:t>
      </w:r>
      <w:r>
        <w:t xml:space="preserve">and</w:t>
      </w:r>
      <w:r>
        <w:t xml:space="preserve"> </w:t>
      </w:r>
      <w:r>
        <w:t xml:space="preserve">“the disposition for collaboration across disciplines.”</w:t>
      </w:r>
    </w:p>
    <w:bookmarkEnd w:id="16"/>
    <w:bookmarkStart w:id="17" w:name="Xab04204e9c5035f06a7655023dbe3f87fce478f"/>
    <w:p>
      <w:pPr>
        <w:pStyle w:val="Heading3"/>
      </w:pPr>
      <w:r>
        <w:t xml:space="preserve">7. Design–development integration in professional software teams</w:t>
      </w:r>
    </w:p>
    <w:p>
      <w:pPr>
        <w:pStyle w:val="Compact"/>
        <w:numPr>
          <w:ilvl w:val="0"/>
          <w:numId w:val="1009"/>
        </w:numPr>
      </w:pPr>
      <w:r>
        <w:rPr>
          <w:b/>
          <w:bCs/>
        </w:rPr>
        <w:t xml:space="preserve">Google Ventures Design Sprint</w:t>
      </w:r>
      <w:r>
        <w:t xml:space="preserve"> </w:t>
      </w:r>
      <w:r>
        <w:t xml:space="preserve">(Knapp, 2010;</w:t>
      </w:r>
      <w:r>
        <w:t xml:space="preserve"> </w:t>
      </w:r>
      <w:r>
        <w:rPr>
          <w:i/>
          <w:iCs/>
        </w:rPr>
        <w:t xml:space="preserve">Sprint</w:t>
      </w:r>
      <w:r>
        <w:t xml:space="preserve">, Simon &amp; Schuster, 2016): a five-day cross-functional process now used at Google, Slack, Airbnb, Uber, LEGO, the NYT, Stanford, Harvard Business School, and the UN. The methodology institutionalizes joint design-and-development work and rapid testing.</w:t>
      </w:r>
    </w:p>
    <w:p>
      <w:pPr>
        <w:pStyle w:val="Compact"/>
        <w:numPr>
          <w:ilvl w:val="0"/>
          <w:numId w:val="1009"/>
        </w:numPr>
      </w:pPr>
      <w:r>
        <w:rPr>
          <w:b/>
          <w:bCs/>
        </w:rPr>
        <w:t xml:space="preserve">Scrum Alliance</w:t>
      </w:r>
      <w:r>
        <w:t xml:space="preserve"> </w:t>
      </w:r>
      <w:r>
        <w:t xml:space="preserve">(cross-functional team glossary):</w:t>
      </w:r>
      <w:r>
        <w:t xml:space="preserve"> </w:t>
      </w:r>
      <w:r>
        <w:t xml:space="preserve">“Cross-functional team members can include developers, testers, designers, and any other roles required to achieve the sprint goal.”</w:t>
      </w:r>
    </w:p>
    <w:p>
      <w:pPr>
        <w:pStyle w:val="Compact"/>
        <w:numPr>
          <w:ilvl w:val="0"/>
          <w:numId w:val="1009"/>
        </w:numPr>
      </w:pPr>
      <w:r>
        <w:rPr>
          <w:b/>
          <w:bCs/>
        </w:rPr>
        <w:t xml:space="preserve">Agile Alliance</w:t>
      </w:r>
      <w:r>
        <w:t xml:space="preserve"> </w:t>
      </w:r>
      <w:r>
        <w:t xml:space="preserve">(McDonald,</w:t>
      </w:r>
      <w:r>
        <w:t xml:space="preserve"> </w:t>
      </w:r>
      <w:r>
        <w:t xml:space="preserve">“What is a Self-Organizing, Cross-Functional Team?”</w:t>
      </w:r>
      <w:r>
        <w:t xml:space="preserve">): cross-functional team composition is a defining feature of post–Agile Manifesto frameworks.</w:t>
      </w:r>
    </w:p>
    <w:p>
      <w:pPr>
        <w:pStyle w:val="Compact"/>
        <w:numPr>
          <w:ilvl w:val="0"/>
          <w:numId w:val="1009"/>
        </w:numPr>
      </w:pPr>
      <w:r>
        <w:rPr>
          <w:b/>
          <w:bCs/>
        </w:rPr>
        <w:t xml:space="preserve">NN/g</w:t>
      </w:r>
      <w:r>
        <w:t xml:space="preserve"> </w:t>
      </w:r>
      <w:r>
        <w:t xml:space="preserve">(</w:t>
      </w:r>
      <w:r>
        <w:t xml:space="preserve">“Redefine Your Design Skills to Prepare for AI,”</w:t>
      </w:r>
      <w:r>
        <w:t xml:space="preserve"> </w:t>
      </w:r>
      <w:r>
        <w:t xml:space="preserve">2024) forecasts that</w:t>
      </w:r>
      <w:r>
        <w:t xml:space="preserve"> </w:t>
      </w:r>
      <w:r>
        <w:t xml:space="preserve">“AI-powered tools will extend teams’ capabilities beyond traditional boundaries. Designers will do data analysis, developers will craft UIs, and analysts will write code”</w:t>
      </w:r>
      <w:r>
        <w:t xml:space="preserve"> </w:t>
      </w:r>
      <w:r>
        <w:t xml:space="preserve">— reinforcing the strategic value of cross-functional fluency.</w:t>
      </w:r>
    </w:p>
    <w:bookmarkEnd w:id="17"/>
    <w:bookmarkStart w:id="18" w:name="X7ba63fd5f9e9172016593270131710b6d02614f"/>
    <w:p>
      <w:pPr>
        <w:pStyle w:val="Heading3"/>
      </w:pPr>
      <w:r>
        <w:t xml:space="preserve">8. Institutional and accreditation alignment</w:t>
      </w:r>
    </w:p>
    <w:p>
      <w:pPr>
        <w:pStyle w:val="Compact"/>
        <w:numPr>
          <w:ilvl w:val="0"/>
          <w:numId w:val="1010"/>
        </w:numPr>
      </w:pPr>
      <w:r>
        <w:rPr>
          <w:b/>
          <w:bCs/>
        </w:rPr>
        <w:t xml:space="preserve">AAC&amp;U High-Impact Practices</w:t>
      </w:r>
      <w:r>
        <w:t xml:space="preserve"> </w:t>
      </w:r>
      <w:r>
        <w:t xml:space="preserve">(Kuh, 2008; Kuh &amp; O’Donnell, 2013): Capstone Courses and Projects and Collaborative Assignments and Projects are two of eleven HIPs with documented effects on retention, learning gains, and equity outcomes. Kuh’s eight quality elements (high performance expectations, significant time/effort, substantive interactions with faculty and peers, interactions with diversity, frequent and constructive feedback, periodic structured reflection, real-world application, public demonstration of competence) are essentially the design specification of a well-run cross-departmental capstone.</w:t>
      </w:r>
    </w:p>
    <w:p>
      <w:pPr>
        <w:pStyle w:val="Compact"/>
        <w:numPr>
          <w:ilvl w:val="0"/>
          <w:numId w:val="1010"/>
        </w:numPr>
      </w:pPr>
      <w:r>
        <w:rPr>
          <w:b/>
          <w:bCs/>
        </w:rPr>
        <w:t xml:space="preserve">Community-College CTE program review</w:t>
      </w:r>
      <w:r>
        <w:t xml:space="preserve"> </w:t>
      </w:r>
      <w:r>
        <w:t xml:space="preserve">(Iowa CTE Program Review Toolkit, July 2025; California CTE State Plan, California Community Colleges Chancellor’s Office): explicitly requires programs to describe</w:t>
      </w:r>
      <w:r>
        <w:t xml:space="preserve"> </w:t>
      </w:r>
      <w:r>
        <w:t xml:space="preserve">“interdisciplinary learning opportunities, such as collaboration between different departments or fields of study, to reflect the integrated nature of many modern”</w:t>
      </w:r>
      <w:r>
        <w:t xml:space="preserve"> </w:t>
      </w:r>
      <w:r>
        <w:t xml:space="preserve">workplaces, and to use</w:t>
      </w:r>
      <w:r>
        <w:t xml:space="preserve"> </w:t>
      </w:r>
      <w:r>
        <w:t xml:space="preserve">“performance-based assessments (e.g., portfolios, simulations, capstone projects).”</w:t>
      </w:r>
    </w:p>
    <w:p>
      <w:pPr>
        <w:pStyle w:val="Compact"/>
        <w:numPr>
          <w:ilvl w:val="0"/>
          <w:numId w:val="1010"/>
        </w:numPr>
      </w:pPr>
      <w:r>
        <w:rPr>
          <w:b/>
          <w:bCs/>
        </w:rPr>
        <w:t xml:space="preserve">Center for American Progress</w:t>
      </w:r>
      <w:r>
        <w:t xml:space="preserve"> </w:t>
      </w:r>
      <w:r>
        <w:t xml:space="preserve">(</w:t>
      </w:r>
      <w:r>
        <w:t xml:space="preserve">“5 Ways Community Colleges Drive Workforce Development,”</w:t>
      </w:r>
      <w:r>
        <w:t xml:space="preserve"> </w:t>
      </w:r>
      <w:r>
        <w:t xml:space="preserve">2025): community colleges’ regional employer partnerships and work-aligned curricula are uniquely well-positioned to deliver hybrid-skill graduates — the labor-market category the WEF and Burning Glass identify as most resilient.</w:t>
      </w:r>
    </w:p>
    <w:p>
      <w:r>
        <w:pict>
          <v:rect style="width:0;height:1.5pt" o:hralign="center" o:hrstd="t" o:hr="t"/>
        </w:pict>
      </w:r>
    </w:p>
    <w:bookmarkEnd w:id="18"/>
    <w:bookmarkEnd w:id="19"/>
    <w:bookmarkStart w:id="20" w:name="recommendations"/>
    <w:p>
      <w:pPr>
        <w:pStyle w:val="Heading2"/>
      </w:pPr>
      <w:r>
        <w:t xml:space="preserve">Recommendations</w:t>
      </w:r>
    </w:p>
    <w:p>
      <w:pPr>
        <w:pStyle w:val="Compact"/>
        <w:numPr>
          <w:ilvl w:val="0"/>
          <w:numId w:val="1011"/>
        </w:numPr>
      </w:pPr>
      <w:r>
        <w:rPr>
          <w:b/>
          <w:bCs/>
        </w:rPr>
        <w:t xml:space="preserve">Cite the four strongest peer-reviewed precedents at the front of any portfolio/program-review narrative</w:t>
      </w:r>
      <w:r>
        <w:t xml:space="preserve">: Heines, Jeffers &amp; Kuhn (2008) for CS↔design-arts pairing; McDonald &amp; Wolfe (2008) for CS↔computer-graphics capstone; Mahnič (</w:t>
      </w:r>
      <w:r>
        <w:rPr>
          <w:i/>
          <w:iCs/>
        </w:rPr>
        <w:t xml:space="preserve">IEEE Transactions on Education</w:t>
      </w:r>
      <w:r>
        <w:t xml:space="preserve">, 2012) for Scrum-in-capstone; Hutter et al. (SIGCSE ’18) for CS↔technical-communication integration. These four citations alone establish that every structural choice in the framework is backed by ACM/IEEE peer-reviewed evidence.</w:t>
      </w:r>
    </w:p>
    <w:p>
      <w:pPr>
        <w:pStyle w:val="Compact"/>
        <w:numPr>
          <w:ilvl w:val="0"/>
          <w:numId w:val="1011"/>
        </w:numPr>
      </w:pPr>
      <w:r>
        <w:rPr>
          <w:b/>
          <w:bCs/>
        </w:rPr>
        <w:t xml:space="preserve">Anchor the employability claim with NACE Job Outlook 2025/2026 percentages</w:t>
      </w:r>
      <w:r>
        <w:t xml:space="preserve">, not generalities — these are the specific figures community-college boards, advisory committees, and Perkins reviewers expect to see. Use the NACE 2024 Student Survey / JO 2025 perception-gap data to justify why structured collaboration and external assessment are necessary (not redundant) at the capstone level.</w:t>
      </w:r>
    </w:p>
    <w:p>
      <w:pPr>
        <w:pStyle w:val="Compact"/>
        <w:numPr>
          <w:ilvl w:val="0"/>
          <w:numId w:val="1011"/>
        </w:numPr>
      </w:pPr>
      <w:r>
        <w:rPr>
          <w:b/>
          <w:bCs/>
        </w:rPr>
        <w:t xml:space="preserve">Adopt the Nielsen Norman Group spec/handoff vocabulary in the syllabus and rubric</w:t>
      </w:r>
      <w:r>
        <w:t xml:space="preserve"> </w:t>
      </w:r>
      <w:r>
        <w:t xml:space="preserve">(</w:t>
      </w:r>
      <w:r>
        <w:t xml:space="preserve">“design specifications,”</w:t>
      </w:r>
      <w:r>
        <w:t xml:space="preserve"> </w:t>
      </w:r>
      <w:r>
        <w:t xml:space="preserve">“developer handoff,”</w:t>
      </w:r>
      <w:r>
        <w:t xml:space="preserve"> </w:t>
      </w:r>
      <w:r>
        <w:t xml:space="preserve">“design as contract,”</w:t>
      </w:r>
      <w:r>
        <w:t xml:space="preserve"> </w:t>
      </w:r>
      <w:r>
        <w:t xml:space="preserve">“design specs provide all relevant information needed to align the design and development teams”</w:t>
      </w:r>
      <w:r>
        <w:t xml:space="preserve">). This costs nothing pedagogically and produces graduates who can read job descriptions and team documentation in the language employers use.</w:t>
      </w:r>
    </w:p>
    <w:p>
      <w:pPr>
        <w:pStyle w:val="Compact"/>
        <w:numPr>
          <w:ilvl w:val="0"/>
          <w:numId w:val="1011"/>
        </w:numPr>
      </w:pPr>
      <w:r>
        <w:rPr>
          <w:b/>
          <w:bCs/>
        </w:rPr>
        <w:t xml:space="preserve">Structure the rubric as three independently weighted columns</w:t>
      </w:r>
      <w:r>
        <w:t xml:space="preserve"> </w:t>
      </w:r>
      <w:r>
        <w:t xml:space="preserve">— disciplinary craft, collaboration behaviors, integration quality — to defuse the dominant group-project failure mode (one student carries the load). Pre-distribute the rubric and reference Jonsson &amp; Svingby (2007) and Panadero et al. (2024) as the rubric-effectiveness evidence base.</w:t>
      </w:r>
    </w:p>
    <w:p>
      <w:pPr>
        <w:pStyle w:val="Compact"/>
        <w:numPr>
          <w:ilvl w:val="0"/>
          <w:numId w:val="1011"/>
        </w:numPr>
      </w:pPr>
      <w:r>
        <w:rPr>
          <w:b/>
          <w:bCs/>
        </w:rPr>
        <w:t xml:space="preserve">Stage Scrum ceremonies but adapt cadence to a community-college term</w:t>
      </w:r>
      <w:r>
        <w:t xml:space="preserve">: weekly stand-ups (10 min), bi-weekly sprint reviews tied to the milestone schedule, one mid-term and one end-of-term retrospective. The Mahnič and Matthies studies show these ceremonies transfer to academic terms.</w:t>
      </w:r>
    </w:p>
    <w:p>
      <w:pPr>
        <w:pStyle w:val="Compact"/>
        <w:numPr>
          <w:ilvl w:val="0"/>
          <w:numId w:val="1011"/>
        </w:numPr>
      </w:pPr>
      <w:r>
        <w:rPr>
          <w:b/>
          <w:bCs/>
        </w:rPr>
        <w:t xml:space="preserve">Document the framework against AAC&amp;U’s eight HIP quality elements</w:t>
      </w:r>
      <w:r>
        <w:t xml:space="preserve"> </w:t>
      </w:r>
      <w:r>
        <w:t xml:space="preserve">in the program-review document. This converts a pedagogical narrative into accreditation evidence and aligns directly with Perkins V / CTE program-review prompts about interdisciplinary learning and performance-based assessment.</w:t>
      </w:r>
    </w:p>
    <w:p>
      <w:pPr>
        <w:pStyle w:val="Compact"/>
        <w:numPr>
          <w:ilvl w:val="0"/>
          <w:numId w:val="1011"/>
        </w:numPr>
      </w:pPr>
      <w:r>
        <w:rPr>
          <w:b/>
          <w:bCs/>
        </w:rPr>
        <w:t xml:space="preserve">Benchmarks that would prompt a redesign</w:t>
      </w:r>
      <w:r>
        <w:t xml:space="preserve">: (a) student-perceived collaboration gains asymmetric by &gt;1 Likert point between CS and design students (the explicit Heines et al. 2008 failure mode); (b) creative briefs or handoff documents missing or below rubric threshold in &gt;25% of mid-term submissions; (c) employer/advisory-board scores on graduate cross-functional readiness below 4/5 in two consecutive cycles; (d) capstone completion rate dropping more than 5 points below the program’s standard course completion rate. Any of these triggers a rubric, milestone, or scoping revision.</w:t>
      </w:r>
    </w:p>
    <w:p>
      <w:r>
        <w:pict>
          <v:rect style="width:0;height:1.5pt" o:hralign="center" o:hrstd="t" o:hr="t"/>
        </w:pict>
      </w:r>
    </w:p>
    <w:bookmarkEnd w:id="20"/>
    <w:bookmarkStart w:id="21" w:name="caveats"/>
    <w:p>
      <w:pPr>
        <w:pStyle w:val="Heading2"/>
      </w:pPr>
      <w:r>
        <w:t xml:space="preserve">Caveats</w:t>
      </w:r>
    </w:p>
    <w:p>
      <w:pPr>
        <w:pStyle w:val="Compact"/>
        <w:numPr>
          <w:ilvl w:val="0"/>
          <w:numId w:val="1012"/>
        </w:numPr>
      </w:pPr>
      <w:r>
        <w:rPr>
          <w:b/>
          <w:bCs/>
        </w:rPr>
        <w:t xml:space="preserve">The strongest direct empirical pairing studies (Heines et al. 2008; McDonald &amp; Wolfe 2008) are mixed-methods accounts of single-institution implementations, not large-n quantitative trials.</w:t>
      </w:r>
      <w:r>
        <w:t xml:space="preserve"> </w:t>
      </w:r>
      <w:r>
        <w:t xml:space="preserve">The peer-reviewed CS-education literature on interdisciplinary capstones is largely composed of such accounts, plus the broader engineering-capstone literature reviewed in Dutson et al. (</w:t>
      </w:r>
      <w:r>
        <w:rPr>
          <w:i/>
          <w:iCs/>
        </w:rPr>
        <w:t xml:space="preserve">Journal of Engineering Education</w:t>
      </w:r>
      <w:r>
        <w:t xml:space="preserve">) and the IEEE</w:t>
      </w:r>
      <w:r>
        <w:t xml:space="preserve"> </w:t>
      </w:r>
      <w:r>
        <w:rPr>
          <w:i/>
          <w:iCs/>
        </w:rPr>
        <w:t xml:space="preserve">Transactions on Education</w:t>
      </w:r>
      <w:r>
        <w:t xml:space="preserve"> </w:t>
      </w:r>
      <w:r>
        <w:t xml:space="preserve">PjBL special issue. Frame the evidence as a convergent best-practice consensus rather than a randomized causal claim.</w:t>
      </w:r>
    </w:p>
    <w:p>
      <w:pPr>
        <w:pStyle w:val="Compact"/>
        <w:numPr>
          <w:ilvl w:val="0"/>
          <w:numId w:val="1012"/>
        </w:numPr>
      </w:pPr>
      <w:r>
        <w:rPr>
          <w:b/>
          <w:bCs/>
        </w:rPr>
        <w:t xml:space="preserve">The Heines et al. finding that CS students perceived more gains than design students is a known risk for this framework</w:t>
      </w:r>
      <w:r>
        <w:t xml:space="preserve"> </w:t>
      </w:r>
      <w:r>
        <w:t xml:space="preserve">and should be named explicitly in the portfolio document, with the three-column rubric and balanced milestone deliverables positioned as the mitigation.</w:t>
      </w:r>
    </w:p>
    <w:p>
      <w:pPr>
        <w:pStyle w:val="Compact"/>
        <w:numPr>
          <w:ilvl w:val="0"/>
          <w:numId w:val="1012"/>
        </w:numPr>
      </w:pPr>
      <w:r>
        <w:rPr>
          <w:b/>
          <w:bCs/>
        </w:rPr>
        <w:t xml:space="preserve">Some practitioner numbers are not from peer-reviewed studies</w:t>
      </w:r>
      <w:r>
        <w:t xml:space="preserve"> </w:t>
      </w:r>
      <w:r>
        <w:t xml:space="preserve">(e.g., monday.com’s</w:t>
      </w:r>
      <w:r>
        <w:t xml:space="preserve"> </w:t>
      </w:r>
      <w:r>
        <w:t xml:space="preserve">“15% error reduction from structured inputs”</w:t>
      </w:r>
      <w:r>
        <w:t xml:space="preserve">; Miro’s</w:t>
      </w:r>
      <w:r>
        <w:t xml:space="preserve"> </w:t>
      </w:r>
      <w:r>
        <w:t xml:space="preserve">“71% of leaders report tool-switching friction”</w:t>
      </w:r>
      <w:r>
        <w:t xml:space="preserve">). Use them as illustrative industry consensus, not empirical findings.</w:t>
      </w:r>
    </w:p>
    <w:p>
      <w:pPr>
        <w:pStyle w:val="Compact"/>
        <w:numPr>
          <w:ilvl w:val="0"/>
          <w:numId w:val="1012"/>
        </w:numPr>
      </w:pPr>
      <w:r>
        <w:rPr>
          <w:b/>
          <w:bCs/>
        </w:rPr>
        <w:t xml:space="preserve">NACE Job Outlook samples are modest</w:t>
      </w:r>
      <w:r>
        <w:t xml:space="preserve"> </w:t>
      </w:r>
      <w:r>
        <w:t xml:space="preserve">(n=237 in 2025; n=183 in 2026) and skew toward NACE employer members; they remain the most-cited U.S. authority on entry-level hiring intent, but generalizability has limits.</w:t>
      </w:r>
    </w:p>
    <w:p>
      <w:pPr>
        <w:pStyle w:val="Compact"/>
        <w:numPr>
          <w:ilvl w:val="0"/>
          <w:numId w:val="1012"/>
        </w:numPr>
      </w:pPr>
      <w:r>
        <w:rPr>
          <w:b/>
          <w:bCs/>
        </w:rPr>
        <w:t xml:space="preserve">WEF</w:t>
      </w:r>
      <w:r>
        <w:rPr>
          <w:b/>
          <w:bCs/>
        </w:rPr>
        <w:t xml:space="preserve"> </w:t>
      </w:r>
      <w:r>
        <w:rPr>
          <w:b/>
          <w:bCs/>
          <w:i/>
          <w:iCs/>
        </w:rPr>
        <w:t xml:space="preserve">Future of Jobs Report 2025</w:t>
      </w:r>
      <w:r>
        <w:rPr>
          <w:b/>
          <w:bCs/>
        </w:rPr>
        <w:t xml:space="preserve"> </w:t>
      </w:r>
      <w:r>
        <w:rPr>
          <w:b/>
          <w:bCs/>
        </w:rPr>
        <w:t xml:space="preserve">figures are employer forecasts</w:t>
      </w:r>
      <w:r>
        <w:t xml:space="preserve"> </w:t>
      </w:r>
      <w:r>
        <w:t xml:space="preserve">(</w:t>
      </w:r>
      <w:r>
        <w:t xml:space="preserve">“by 2030”</w:t>
      </w:r>
      <w:r>
        <w:t xml:space="preserve">), aggregated from self-report by &gt;1,000 employers — not measured workforce outcomes.</w:t>
      </w:r>
    </w:p>
    <w:p>
      <w:pPr>
        <w:pStyle w:val="Compact"/>
        <w:numPr>
          <w:ilvl w:val="0"/>
          <w:numId w:val="1012"/>
        </w:numPr>
      </w:pPr>
      <w:r>
        <w:rPr>
          <w:b/>
          <w:bCs/>
        </w:rPr>
        <w:t xml:space="preserve">The Burning Glass / Lightcast</w:t>
      </w:r>
      <w:r>
        <w:rPr>
          <w:b/>
          <w:bCs/>
        </w:rPr>
        <w:t xml:space="preserve"> </w:t>
      </w:r>
      <w:r>
        <w:rPr>
          <w:b/>
          <w:bCs/>
        </w:rPr>
        <w:t xml:space="preserve">“hybrid jobs”</w:t>
      </w:r>
      <w:r>
        <w:rPr>
          <w:b/>
          <w:bCs/>
        </w:rPr>
        <w:t xml:space="preserve"> </w:t>
      </w:r>
      <w:r>
        <w:rPr>
          <w:b/>
          <w:bCs/>
        </w:rPr>
        <w:t xml:space="preserve">research is the work of a single private analytics firm</w:t>
      </w:r>
      <w:r>
        <w:t xml:space="preserve">, and the most-quoted figures derive from its 2019</w:t>
      </w:r>
      <w:r>
        <w:t xml:space="preserve"> </w:t>
      </w:r>
      <w:r>
        <w:rPr>
          <w:i/>
          <w:iCs/>
        </w:rPr>
        <w:t xml:space="preserve">Hybrid Job Economy</w:t>
      </w:r>
      <w:r>
        <w:t xml:space="preserve"> </w:t>
      </w:r>
      <w:r>
        <w:t xml:space="preserve">report; verify currency before citing in any formal accreditation document.</w:t>
      </w:r>
    </w:p>
    <w:p>
      <w:pPr>
        <w:pStyle w:val="Compact"/>
        <w:numPr>
          <w:ilvl w:val="0"/>
          <w:numId w:val="1012"/>
        </w:numPr>
      </w:pPr>
      <w:r>
        <w:rPr>
          <w:b/>
          <w:bCs/>
        </w:rPr>
        <w:t xml:space="preserve">The NN/g spec/handoff articles are practitioner thought-leadership pieces</w:t>
      </w:r>
      <w:r>
        <w:t xml:space="preserve"> </w:t>
      </w:r>
      <w:r>
        <w:t xml:space="preserve">stating best-practice claims rather than measured error-reduction percentages; pair with an HCI/software-engineering empirical paper if quantification is required for a specific accreditation reviewer.</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Georgia" w:cs="Georgia" w:eastAsia="Georgia" w:hAnsi="Georgia"/>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AF Body Text Clean"/>
    <w:basedOn w:val="Normal"/>
    <w:link w:val="BodyTextChar"/>
    <w:qFormat/>
    <w:pPr>
      <w:spacing w:after="180" w:before="180"/>
    </w:pPr>
  </w:style>
  <w:style w:customStyle="1" w:styleId="FirstParagraph" w:type="paragraph">
    <w:name w:val="AF Body Text Clean"/>
    <w:basedOn w:val="BodyText"/>
    <w:next w:val="BodyText"/>
    <w:qFormat/>
  </w:style>
  <w:style w:customStyle="1" w:styleId="Compact" w:type="paragraph">
    <w:name w:val="AF Body Text Clean"/>
    <w:basedOn w:val="BodyText"/>
    <w:qFormat/>
    <w:pPr>
      <w:spacing w:after="36" w:before="36"/>
    </w:pPr>
  </w:style>
  <w:style w:styleId="Title" w:type="paragraph">
    <w:name w:val="AF Title"/>
    <w:basedOn w:val="Normal"/>
    <w:next w:val="BodyText"/>
    <w:link w:val="TitleChar"/>
    <w:uiPriority w:val="10"/>
    <w:qFormat/>
    <w:rsid w:val="00A10FD9"/>
    <w:pPr>
      <w:spacing w:after="80" w:line="240" w:lineRule="auto"/>
      <w:contextualSpacing/>
      <w:jc w:val="center"/>
    </w:pPr>
    <w:rPr>
      <w:rFonts w:ascii="Arial Narrow" w:cs="Arial Narrow" w:eastAsia="Arial Narrow" w:hAnsi="Arial Narrow"/>
      <w:sz w:val="56"/>
      <w:szCs w:val="56"/>
    </w:rPr>
  </w:style>
  <w:style w:customStyle="1" w:styleId="TitleChar" w:type="character">
    <w:name w:val="Title Char"/>
    <w:basedOn w:val="DefaultParagraphFont"/>
    <w:link w:val="Title"/>
    <w:uiPriority w:val="10"/>
    <w:rsid w:val="00A10FD9"/>
    <w:rPr>
      <w:rFonts w:ascii="Arial Narrow" w:cs="Arial Narrow" w:eastAsia="Arial Narrow" w:hAnsi="Arial Narrow"/>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AF Title"/>
    <w:basedOn w:val="Normal"/>
    <w:next w:val="BodyText"/>
    <w:link w:val="Heading1Char"/>
    <w:uiPriority w:val="9"/>
    <w:qFormat/>
    <w:rsid w:val="00A10FD9"/>
    <w:pPr>
      <w:keepNext/>
      <w:keepLines/>
      <w:spacing w:after="80" w:before="360"/>
      <w:outlineLvl w:val="0"/>
    </w:pPr>
    <w:rPr>
      <w:rFonts w:ascii="Arial Narrow" w:cs="Arial Narrow" w:eastAsia="Arial Narrow" w:hAnsi="Arial Narrow"/>
      <w:color w:val="1A2332"/>
      <w:sz w:val="40"/>
      <w:szCs w:val="40"/>
    </w:rPr>
  </w:style>
  <w:style w:styleId="Heading2" w:type="paragraph">
    <w:name w:val="AF Headline"/>
    <w:basedOn w:val="Normal"/>
    <w:next w:val="BodyText"/>
    <w:link w:val="Heading2Char"/>
    <w:uiPriority w:val="9"/>
    <w:semiHidden/>
    <w:unhideWhenUsed/>
    <w:qFormat/>
    <w:rsid w:val="00A10FD9"/>
    <w:pPr>
      <w:keepNext/>
      <w:keepLines/>
      <w:spacing w:after="80" w:before="160"/>
      <w:outlineLvl w:val="1"/>
    </w:pPr>
    <w:rPr>
      <w:rFonts w:ascii="Arial Narrow" w:cs="Arial Narrow" w:eastAsia="Arial Narrow" w:hAnsi="Arial Narrow"/>
      <w:color w:val="1A2332"/>
      <w:sz w:val="32"/>
      <w:szCs w:val="32"/>
    </w:rPr>
  </w:style>
  <w:style w:styleId="Heading3" w:type="paragraph">
    <w:name w:val="AF Subheading"/>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1A2332"/>
      <w:sz w:val="28"/>
      <w:szCs w:val="28"/>
    </w:rPr>
  </w:style>
  <w:style w:styleId="Heading4" w:type="paragraph">
    <w:name w:val="AF Heading Soft"/>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1A2332"/>
    </w:rPr>
  </w:style>
  <w:style w:styleId="Heading5" w:type="paragraph">
    <w:name w:val="AF Heading 6"/>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1A233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Arial Narrow" w:cs="Arial Narrow" w:eastAsia="Arial Narrow" w:hAnsi="Arial Narrow"/>
      <w:color w:val="1A2332"/>
      <w:sz w:val="40"/>
      <w:szCs w:val="40"/>
    </w:rPr>
  </w:style>
  <w:style w:customStyle="1" w:styleId="Heading2Char" w:type="character">
    <w:name w:val="Heading 2 Char"/>
    <w:basedOn w:val="DefaultParagraphFont"/>
    <w:link w:val="Heading2"/>
    <w:uiPriority w:val="9"/>
    <w:semiHidden/>
    <w:rsid w:val="00A10FD9"/>
    <w:rPr>
      <w:rFonts w:ascii="Arial Narrow" w:cs="Arial Narrow" w:eastAsia="Arial Narrow" w:hAnsi="Arial Narrow"/>
      <w:color w:val="1A2332"/>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1A2332"/>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1A2332"/>
    </w:rPr>
  </w:style>
  <w:style w:customStyle="1" w:styleId="Heading5Char" w:type="character">
    <w:name w:val="Heading 5 Char"/>
    <w:basedOn w:val="DefaultParagraphFont"/>
    <w:link w:val="Heading5"/>
    <w:uiPriority w:val="9"/>
    <w:semiHidden/>
    <w:rsid w:val="00A10FD9"/>
    <w:rPr>
      <w:rFonts w:cstheme="majorBidi" w:eastAsiaTheme="majorEastAsia"/>
      <w:color w:val="1A2332"/>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AF Pull Quote"/>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AF 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AF Inline Code"/>
    <w:basedOn w:val="BodyTextChar"/>
    <w:rPr>
      <w:rFonts w:ascii="Courier New" w:hAnsi="Courier New"/>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AF Body Text Typewriter"/>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2026-05-16T19:13:37Z</dcterms:created>
  <dcterms:modified xsi:type="dcterms:W3CDTF">2026-05-16T19:13:37Z</dcterms:modified>
</cp:coreProperties>
</file>

<file path=docProps/custom.xml><?xml version="1.0" encoding="utf-8"?>
<Properties xmlns="http://schemas.openxmlformats.org/officeDocument/2006/custom-properties" xmlns:vt="http://schemas.openxmlformats.org/officeDocument/2006/docPropsVTypes"/>
</file>