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objective-3-ghost-student-discovery-tool"/>
    <w:p>
      <w:pPr>
        <w:pStyle w:val="Heading1"/>
      </w:pPr>
      <w:r>
        <w:t xml:space="preserve">Objective 3: Ghost Student Discovery Tool</w:t>
      </w:r>
    </w:p>
    <w:p>
      <w:pPr>
        <w:pStyle w:val="FirstParagraph"/>
      </w:pPr>
      <w:r>
        <w:rPr>
          <w:bCs/>
          <w:b/>
        </w:rPr>
        <w:t xml:space="preserve">Employee:</w:t>
      </w:r>
      <w:r>
        <w:t xml:space="preserve"> </w:t>
      </w:r>
      <w:r>
        <w:t xml:space="preserve">[REDACTED]</w:t>
      </w:r>
      <w:r>
        <w:t xml:space="preserve"> </w:t>
      </w:r>
      <w:r>
        <w:rPr>
          <w:bCs/>
          <w:b/>
        </w:rPr>
        <w:t xml:space="preserve">Department:</w:t>
      </w:r>
      <w:r>
        <w:t xml:space="preserve"> </w:t>
      </w:r>
      <w:r>
        <w:t xml:space="preserve">Computer &amp; Information Technology / Programming — Platform Team</w:t>
      </w:r>
      <w:r>
        <w:t xml:space="preserve"> </w:t>
      </w:r>
      <w:r>
        <w:rPr>
          <w:bCs/>
          <w:b/>
        </w:rPr>
        <w:t xml:space="preserve">Review Period:</w:t>
      </w:r>
      <w:r>
        <w:t xml:space="preserve"> </w:t>
      </w:r>
      <w:r>
        <w:t xml:space="preserve">Spring 2026</w:t>
      </w:r>
      <w:r>
        <w:t xml:space="preserve"> </w:t>
      </w:r>
      <w:r>
        <w:rPr>
          <w:bCs/>
          <w:b/>
        </w:rPr>
        <w:t xml:space="preserve">Classification:</w:t>
      </w:r>
      <w:r>
        <w:t xml:space="preserve"> </w:t>
      </w:r>
      <w:r>
        <w:t xml:space="preserve">Special Project Contribution (Cross-Functional)</w:t>
      </w:r>
    </w:p>
    <w:p>
      <w:r>
        <w:pict>
          <v:rect style="width:0;height:1.5pt" o:hralign="center" o:hrstd="t" o:hr="t"/>
        </w:pict>
      </w:r>
    </w:p>
    <w:bookmarkStart w:id="20" w:name="smart-goal"/>
    <w:p>
      <w:pPr>
        <w:pStyle w:val="Heading2"/>
      </w:pPr>
      <w:r>
        <w:t xml:space="preserve">SMART Goal</w:t>
      </w:r>
    </w:p>
    <w:p>
      <w:pPr>
        <w:pStyle w:val="FirstParagraph"/>
      </w:pPr>
      <w:r>
        <w:rPr>
          <w:bCs/>
          <w:b/>
        </w:rPr>
        <w:t xml:space="preserve">Specific:</w:t>
      </w:r>
      <w:r>
        <w:t xml:space="preserve"> </w:t>
      </w:r>
      <w:r>
        <w:t xml:space="preserve">Provide project management support for the development and delivery of the Ghost Student Discovery Tool — an internal fraud detection utility targeting fraudulent enrollment and financial aid abuse — by gathering and documenting customer requirements from stakeholder departments, identifying and resolving planning and technical obstacles during the development cycle, and establishing a Scrum/GitHub workflow as a non-optional project standard.</w:t>
      </w:r>
    </w:p>
    <w:p>
      <w:pPr>
        <w:pStyle w:val="BodyText"/>
      </w:pPr>
      <w:r>
        <w:rPr>
          <w:bCs/>
          <w:b/>
        </w:rPr>
        <w:t xml:space="preserve">Measurable:</w:t>
      </w:r>
      <w:r>
        <w:t xml:space="preserve"> </w:t>
      </w:r>
      <w:r>
        <w:t xml:space="preserve">The tool shipped in May 2026. Four discrete contribution areas were verified by the development team:</w:t>
      </w:r>
    </w:p>
    <w:p>
      <w:pPr>
        <w:numPr>
          <w:ilvl w:val="0"/>
          <w:numId w:val="1001"/>
        </w:numPr>
        <w:pStyle w:val="Compact"/>
      </w:pPr>
      <w:r>
        <w:t xml:space="preserve">Project management support — planning, milestone tracking, and obstacle resolution</w:t>
      </w:r>
    </w:p>
    <w:p>
      <w:pPr>
        <w:numPr>
          <w:ilvl w:val="0"/>
          <w:numId w:val="1001"/>
        </w:numPr>
        <w:pStyle w:val="Compact"/>
      </w:pPr>
      <w:r>
        <w:t xml:space="preserve">Agile/Scrum mentoring and establishment of a GitHub-based workflow as the development standard</w:t>
      </w:r>
    </w:p>
    <w:p>
      <w:pPr>
        <w:numPr>
          <w:ilvl w:val="0"/>
          <w:numId w:val="1001"/>
        </w:numPr>
        <w:pStyle w:val="Compact"/>
      </w:pPr>
      <w:r>
        <w:t xml:space="preserve">Customer requirements gathering from institutional stakeholders</w:t>
      </w:r>
    </w:p>
    <w:p>
      <w:pPr>
        <w:numPr>
          <w:ilvl w:val="0"/>
          <w:numId w:val="1001"/>
        </w:numPr>
        <w:pStyle w:val="Compact"/>
      </w:pPr>
      <w:r>
        <w:t xml:space="preserve">Documentation — user-facing materials and configuration documentation</w:t>
      </w:r>
    </w:p>
    <w:p>
      <w:pPr>
        <w:pStyle w:val="FirstParagraph"/>
      </w:pPr>
      <w:r>
        <w:rPr>
          <w:bCs/>
          <w:b/>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w:t>
      </w:r>
      <w:r>
        <w:t xml:space="preserve">platform team</w:t>
      </w:r>
      <w:r>
        <w:t xml:space="preserve">”</w:t>
      </w:r>
      <w:r>
        <w:t xml:space="preserve"> </w:t>
      </w:r>
      <w:r>
        <w:t xml:space="preserve">model already adopted by the department.</w:t>
      </w:r>
    </w:p>
    <w:p>
      <w:pPr>
        <w:pStyle w:val="BodyText"/>
      </w:pPr>
      <w:r>
        <w:rPr>
          <w:bCs/>
          <w:b/>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Cs/>
          <w:b/>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20"/>
    <w:bookmarkStart w:id="21"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numPr>
          <w:ilvl w:val="0"/>
          <w:numId w:val="1002"/>
        </w:numPr>
        <w:pStyle w:val="Compact"/>
      </w:pPr>
      <w:r>
        <w:rPr>
          <w:bCs/>
          <w:b/>
        </w:rPr>
        <w:t xml:space="preserve">HS</w:t>
      </w:r>
      <w:r>
        <w:t xml:space="preserve"> </w:t>
      </w:r>
      <w:r>
        <w:t xml:space="preserve">and</w:t>
      </w:r>
      <w:r>
        <w:t xml:space="preserve"> </w:t>
      </w:r>
      <w:r>
        <w:rPr>
          <w:bCs/>
          <w:b/>
        </w:rPr>
        <w:t xml:space="preserve">MM</w:t>
      </w:r>
      <w:r>
        <w:t xml:space="preserve"> </w:t>
      </w:r>
      <w:r>
        <w:t xml:space="preserve">— lead developers; primary design, implementation, and ship-readiness work.</w:t>
      </w:r>
    </w:p>
    <w:p>
      <w:pPr>
        <w:numPr>
          <w:ilvl w:val="0"/>
          <w:numId w:val="1002"/>
        </w:numPr>
        <w:pStyle w:val="Compact"/>
      </w:pPr>
      <w:r>
        <w:rPr>
          <w:bCs/>
          <w:b/>
        </w:rPr>
        <w:t xml:space="preserve">BS</w:t>
      </w:r>
      <w:r>
        <w:t xml:space="preserve"> </w:t>
      </w:r>
      <w:r>
        <w:t xml:space="preserve">— supporting developer.</w:t>
      </w:r>
    </w:p>
    <w:p>
      <w:pPr>
        <w:numPr>
          <w:ilvl w:val="0"/>
          <w:numId w:val="1002"/>
        </w:numPr>
        <w:pStyle w:val="Compact"/>
      </w:pPr>
      <w:r>
        <w:rPr>
          <w:bCs/>
          <w:b/>
        </w:rPr>
        <w:t xml:space="preserve">DT</w:t>
      </w:r>
      <w:r>
        <w:t xml:space="preserve"> </w:t>
      </w:r>
      <w:r>
        <w:t xml:space="preserve">— team lead.</w:t>
      </w:r>
    </w:p>
    <w:p>
      <w:pPr>
        <w:numPr>
          <w:ilvl w:val="0"/>
          <w:numId w:val="1002"/>
        </w:numPr>
        <w:pStyle w:val="Compact"/>
      </w:pPr>
      <w:r>
        <w:rPr>
          <w:bCs/>
          <w:b/>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21"/>
    <w:bookmarkStart w:id="28" w:name="Xd0beadb8af2851b11b9804a11aa9f0680d43fc2"/>
    <w:p>
      <w:pPr>
        <w:pStyle w:val="Heading2"/>
      </w:pPr>
      <w:r>
        <w:t xml:space="preserve">Supporting Evidence: Why This Tool Matters</w:t>
      </w:r>
    </w:p>
    <w:bookmarkStart w:id="22" w:name="X52724936b0004ccacfab79f3c91786b60c995c4"/>
    <w:p>
      <w:pPr>
        <w:pStyle w:val="Heading3"/>
      </w:pPr>
      <w:r>
        <w:t xml:space="preserve">The regional threat is severe and actively prosecuted</w:t>
      </w:r>
    </w:p>
    <w:p>
      <w:pPr>
        <w:pStyle w:val="FirstParagraph"/>
      </w:pPr>
      <w:r>
        <w:t xml:space="preserve">The largest ghost student fraud prosecution in North Carolina history was sentenced in June 2025 — a Fayetteville-based scheme that generated over</w:t>
      </w:r>
      <w:r>
        <w:t xml:space="preserve"> </w:t>
      </w:r>
      <w:r>
        <w:rPr>
          <w:bCs/>
          <w:b/>
        </w:rPr>
        <w:t xml:space="preserve">$4.7 million in fraudulent financial aid awards</w:t>
      </w:r>
      <w:r>
        <w:t xml:space="preserve"> </w:t>
      </w:r>
      <w:r>
        <w:t xml:space="preserve">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t xml:space="preserve"> </w:t>
      </w:r>
      <w:r>
        <w:rPr>
          <w:iCs/>
          <w:i/>
        </w:rPr>
        <w:t xml:space="preserve">(Sources: CBS17, June 2025; DOJ Eastern District of NC press releases; ABC11 Raleigh-Durham, January 2026)</w:t>
      </w:r>
    </w:p>
    <w:p>
      <w:pPr>
        <w:pStyle w:val="BodyText"/>
      </w:pPr>
      <w: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t xml:space="preserve"> </w:t>
      </w:r>
      <w:r>
        <w:rPr>
          <w:iCs/>
          <w:i/>
        </w:rPr>
        <w:t xml:space="preserve">(Sources: DOJ EDNC, January 2023; DOJ EDNC, Cumberland County indictment)</w:t>
      </w:r>
    </w:p>
    <w:p>
      <w:pPr>
        <w:pStyle w:val="BodyText"/>
      </w:pPr>
      <w:r>
        <w:t xml:space="preserve">The U.S. Attorney for the Eastern District of NC confirmed in January 2026 that</w:t>
      </w:r>
      <w:r>
        <w:t xml:space="preserve"> </w:t>
      </w:r>
      <w:r>
        <w:rPr>
          <w:bCs/>
          <w:b/>
        </w:rPr>
        <w:t xml:space="preserve">multiple additional investigations remain active</w:t>
      </w:r>
      <w:r>
        <w:t xml:space="preserve"> </w:t>
      </w:r>
      <w:r>
        <w:t xml:space="preserve">in the district.</w:t>
      </w:r>
      <w:r>
        <w:t xml:space="preserve"> </w:t>
      </w:r>
      <w:r>
        <w:rPr>
          <w:iCs/>
          <w:i/>
        </w:rPr>
        <w:t xml:space="preserve">(Source: ABC11, January 2026)</w:t>
      </w:r>
    </w:p>
    <w:bookmarkEnd w:id="22"/>
    <w:bookmarkStart w:id="23" w:name="X8f5fbceedd5df410dca0730b83949eb51727250"/>
    <w:p>
      <w:pPr>
        <w:pStyle w:val="Heading3"/>
      </w:pPr>
      <w:r>
        <w:t xml:space="preserve">The national scale dwarfs individual cases</w:t>
      </w:r>
    </w:p>
    <w:p>
      <w:pPr>
        <w:pStyle w:val="FirstParagraph"/>
      </w:pPr>
      <w:r>
        <w:t xml:space="preserve">The Department of Education’s Office of Inspector General maintains</w:t>
      </w:r>
      <w:r>
        <w:t xml:space="preserve"> </w:t>
      </w:r>
      <w:r>
        <w:rPr>
          <w:bCs/>
          <w:b/>
        </w:rPr>
        <w:t xml:space="preserve">more than 200 open investigations</w:t>
      </w:r>
      <w:r>
        <w:t xml:space="preserve"> </w:t>
      </w:r>
      <w:r>
        <w:t xml:space="preserve">into ghost student schemes nationally, with investigated fraud exceeding</w:t>
      </w:r>
      <w:r>
        <w:t xml:space="preserve"> </w:t>
      </w:r>
      <w:r>
        <w:rPr>
          <w:bCs/>
          <w:b/>
        </w:rPr>
        <w:t xml:space="preserve">$350 million</w:t>
      </w:r>
      <w:r>
        <w:t xml:space="preserve"> </w:t>
      </w:r>
      <w:r>
        <w:t xml:space="preserve">over five years — a figure OIG officials describe as a fraction of the true total. In 2025, the DOE reported preventing</w:t>
      </w:r>
      <w:r>
        <w:t xml:space="preserve"> </w:t>
      </w:r>
      <w:r>
        <w:rPr>
          <w:bCs/>
          <w:b/>
        </w:rPr>
        <w:t xml:space="preserve">$1 billion</w:t>
      </w:r>
      <w:r>
        <w:t xml:space="preserve"> </w:t>
      </w:r>
      <w:r>
        <w:t xml:space="preserve">in fraudulent student loan payments after enhanced screening flagged approximately 150,000 suspect identities in a single week.</w:t>
      </w:r>
      <w:r>
        <w:t xml:space="preserve"> </w:t>
      </w:r>
      <w:r>
        <w:rPr>
          <w:iCs/>
          <w:i/>
        </w:rPr>
        <w:t xml:space="preserve">(Sources: WJLA I-Team investigation, 2025; U.S. Department of Education press releases, June 2025)</w:t>
      </w:r>
    </w:p>
    <w:bookmarkEnd w:id="23"/>
    <w:bookmarkStart w:id="24" w:name="X5884310a7f15ff41541eb9e180ae271975b1613"/>
    <w:p>
      <w:pPr>
        <w:pStyle w:val="Heading3"/>
      </w:pPr>
      <w:r>
        <w:t xml:space="preserve">Community colleges are the primary target</w:t>
      </w:r>
    </w:p>
    <w:p>
      <w:pPr>
        <w:pStyle w:val="FirstParagraph"/>
      </w:pPr>
      <w: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t xml:space="preserve"> </w:t>
      </w:r>
      <w:r>
        <w:rPr>
          <w:iCs/>
          <w:i/>
        </w:rPr>
        <w:t xml:space="preserve">(Sources: Carahsoft/HUMAN Security, 2025; AACRAO guidance document; IntelliBoard, 2025)</w:t>
      </w:r>
    </w:p>
    <w:bookmarkEnd w:id="24"/>
    <w:bookmarkStart w:id="25" w:name="X89890cd295b221d6b61de23ed03a6d006366e53"/>
    <w:p>
      <w:pPr>
        <w:pStyle w:val="Heading3"/>
      </w:pPr>
      <w:r>
        <w:t xml:space="preserve">FTCC’s home region is specifically implicated</w:t>
      </w:r>
    </w:p>
    <w:p>
      <w:pPr>
        <w:pStyle w:val="FirstParagraph"/>
      </w:pPr>
      <w:r>
        <w:t xml:space="preserve">The Melvin prosecution directly named</w:t>
      </w:r>
      <w:r>
        <w:t xml:space="preserve"> </w:t>
      </w:r>
      <w:r>
        <w:rPr>
          <w:bCs/>
          <w:b/>
        </w:rPr>
        <w:t xml:space="preserve">Fayetteville Technical Community College</w:t>
      </w:r>
      <w:r>
        <w:t xml:space="preserve"> </w:t>
      </w:r>
      <w:r>
        <w:t xml:space="preserve">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t xml:space="preserve"> </w:t>
      </w:r>
      <w:r>
        <w:rPr>
          <w:iCs/>
          <w:i/>
        </w:rPr>
        <w:t xml:space="preserve">(Sources: CBS17, June 2025; WECT, June 2025; Old North News, June 2025)</w:t>
      </w:r>
    </w:p>
    <w:bookmarkEnd w:id="25"/>
    <w:bookmarkStart w:id="26" w:name="X64556c4673d91493d1363ea0777ccf7479b4131"/>
    <w:p>
      <w:pPr>
        <w:pStyle w:val="Heading3"/>
      </w:pPr>
      <w:r>
        <w:t xml:space="preserve">Peer institutions that deployed detection tools saw dramatic results</w:t>
      </w:r>
    </w:p>
    <w:p>
      <w:pPr>
        <w:pStyle w:val="FirstParagraph"/>
      </w:pPr>
      <w:r>
        <w:t xml:space="preserve">Schools that adopted AI-powered fraud screening and identity verification have documented transformative outcomes:</w:t>
      </w:r>
    </w:p>
    <w:p>
      <w:pPr>
        <w:numPr>
          <w:ilvl w:val="0"/>
          <w:numId w:val="1003"/>
        </w:numPr>
        <w:pStyle w:val="Compact"/>
      </w:pPr>
      <w:r>
        <w:rPr>
          <w:bCs/>
          <w:b/>
        </w:rPr>
        <w:t xml:space="preserve">Virginia Community College System</w:t>
      </w:r>
      <w:r>
        <w:t xml:space="preserve"> </w:t>
      </w:r>
      <w:r>
        <w:t xml:space="preserve">reduced fraudulent applications from 15% of all submissions to under 1% after implementing ID verification in 2024.</w:t>
      </w:r>
    </w:p>
    <w:p>
      <w:pPr>
        <w:numPr>
          <w:ilvl w:val="0"/>
          <w:numId w:val="1003"/>
        </w:numPr>
        <w:pStyle w:val="Compact"/>
      </w:pPr>
      <w:r>
        <w:rPr>
          <w:bCs/>
          <w:b/>
        </w:rPr>
        <w:t xml:space="preserve">Santiago Canyon College</w:t>
      </w:r>
      <w:r>
        <w:t xml:space="preserve"> </w:t>
      </w:r>
      <w:r>
        <w:t xml:space="preserve">(CA) detected and removed 8,000 fraudulent enrollments after deploying LightLeap.AI; the following semester, 7,500 real students reclaimed those seats.</w:t>
      </w:r>
    </w:p>
    <w:p>
      <w:pPr>
        <w:numPr>
          <w:ilvl w:val="0"/>
          <w:numId w:val="1003"/>
        </w:numPr>
        <w:pStyle w:val="Compact"/>
      </w:pPr>
      <w:r>
        <w:rPr>
          <w:bCs/>
          <w:b/>
        </w:rPr>
        <w:t xml:space="preserve">Delaware County Community College</w:t>
      </w:r>
      <w:r>
        <w:t xml:space="preserve"> </w:t>
      </w:r>
      <w:r>
        <w:t xml:space="preserve">(PA) went from 500+ ghost students in 2023 to just 2 in 2025 after deploying the S.A.F.E. screening platform.</w:t>
      </w:r>
    </w:p>
    <w:p>
      <w:pPr>
        <w:numPr>
          <w:ilvl w:val="0"/>
          <w:numId w:val="1003"/>
        </w:numPr>
        <w:pStyle w:val="Compact"/>
      </w:pPr>
      <w:r>
        <w:t xml:space="preserve">Across 500,000+ applications processed by LightLeap, the tool identified</w:t>
      </w:r>
      <w:r>
        <w:t xml:space="preserve"> </w:t>
      </w:r>
      <w:r>
        <w:rPr>
          <w:bCs/>
          <w:b/>
        </w:rPr>
        <w:t xml:space="preserve">79,016 fraudulent submissions</w:t>
      </w:r>
      <w:r>
        <w:t xml:space="preserve"> </w:t>
      </w:r>
      <w:r>
        <w:t xml:space="preserve">— roughly twice the number caught by human staff alone.</w:t>
      </w:r>
    </w:p>
    <w:p>
      <w:pPr>
        <w:pStyle w:val="FirstParagraph"/>
      </w:pPr>
      <w:r>
        <w:rPr>
          <w:iCs/>
          <w:i/>
        </w:rPr>
        <w:t xml:space="preserve">(Sources: EDUCAUSE Review, February 2025; EdSource, 2025; Fortune, July 2025; AMSA Connect, 2025)</w:t>
      </w:r>
    </w:p>
    <w:bookmarkEnd w:id="26"/>
    <w:bookmarkStart w:id="27" w:name="federal-mandates-now-require-action"/>
    <w:p>
      <w:pPr>
        <w:pStyle w:val="Heading3"/>
      </w:pPr>
      <w:r>
        <w:t xml:space="preserve">Federal mandates now require action</w:t>
      </w:r>
    </w:p>
    <w:p>
      <w:pPr>
        <w:pStyle w:val="FirstParagraph"/>
      </w:pPr>
      <w: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t xml:space="preserve"> </w:t>
      </w:r>
      <w:r>
        <w:rPr>
          <w:iCs/>
          <w:i/>
        </w:rPr>
        <w:t xml:space="preserve">(Sources: U.S. Department of Education press release, June 2025; FSA Partners electronic announcement, June 2025)</w:t>
      </w:r>
    </w:p>
    <w:p>
      <w:r>
        <w:pict>
          <v:rect style="width:0;height:1.5pt" o:hralign="center" o:hrstd="t" o:hr="t"/>
        </w:pict>
      </w:r>
    </w:p>
    <w:bookmarkEnd w:id="27"/>
    <w:bookmarkEnd w:id="28"/>
    <w:bookmarkStart w:id="29" w:name="contribution-summary"/>
    <w:p>
      <w:pPr>
        <w:pStyle w:val="Heading2"/>
      </w:pPr>
      <w:r>
        <w:t xml:space="preserve">Contribution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Area</w:t>
            </w:r>
          </w:p>
        </w:tc>
        <w:tc>
          <w:tcPr/>
          <w:p>
            <w:pPr>
              <w:pStyle w:val="Compact"/>
              <w:jc w:val="left"/>
            </w:pPr>
            <w:r>
              <w:t xml:space="preserve">Description</w:t>
            </w:r>
          </w:p>
        </w:tc>
        <w:tc>
          <w:tcPr/>
          <w:p>
            <w:pPr>
              <w:pStyle w:val="Compact"/>
              <w:jc w:val="left"/>
            </w:pPr>
            <w:r>
              <w:t xml:space="preserve">Impact</w:t>
            </w:r>
          </w:p>
        </w:tc>
      </w:tr>
      <w:tr>
        <w:tc>
          <w:tcPr/>
          <w:p>
            <w:pPr>
              <w:pStyle w:val="Compact"/>
              <w:jc w:val="left"/>
            </w:pPr>
            <w:r>
              <w:rPr>
                <w:bCs/>
                <w:b/>
              </w:rPr>
              <w:t xml:space="preserve">Project Management Support</w:t>
            </w:r>
          </w:p>
        </w:tc>
        <w:tc>
          <w:tcPr/>
          <w:p>
            <w:pPr>
              <w:pStyle w:val="Compact"/>
              <w:jc w:val="lef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jc w:val="left"/>
            </w:pPr>
            <w:r>
              <w:t xml:space="preserve">Kept the project on track for a May 2026 ship date aligned with federal compliance timelines and ahead of Fall 2026 enrollment.</w:t>
            </w:r>
          </w:p>
        </w:tc>
      </w:tr>
      <w:tr>
        <w:tc>
          <w:tcPr/>
          <w:p>
            <w:pPr>
              <w:pStyle w:val="Compact"/>
              <w:jc w:val="left"/>
            </w:pPr>
            <w:r>
              <w:rPr>
                <w:bCs/>
                <w:b/>
              </w:rPr>
              <w:t xml:space="preserve">Agile/Scrum Mentoring</w:t>
            </w:r>
          </w:p>
        </w:tc>
        <w:tc>
          <w:tcPr/>
          <w:p>
            <w:pPr>
              <w:pStyle w:val="Compact"/>
              <w:jc w:val="lef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jc w:val="lef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jc w:val="left"/>
            </w:pPr>
            <w:r>
              <w:rPr>
                <w:bCs/>
                <w:b/>
              </w:rPr>
              <w:t xml:space="preserve">Requirements Gathering</w:t>
            </w:r>
          </w:p>
        </w:tc>
        <w:tc>
          <w:tcPr/>
          <w:p>
            <w:pPr>
              <w:pStyle w:val="Compact"/>
              <w:jc w:val="lef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jc w:val="left"/>
            </w:pPr>
            <w:r>
              <w:t xml:space="preserve">All requested detection signals shipped as implemented capabilities in the May 2026 release.</w:t>
            </w:r>
          </w:p>
        </w:tc>
      </w:tr>
      <w:tr>
        <w:tc>
          <w:tcPr/>
          <w:p>
            <w:pPr>
              <w:pStyle w:val="Compact"/>
              <w:jc w:val="left"/>
            </w:pPr>
            <w:r>
              <w:rPr>
                <w:bCs/>
                <w:b/>
              </w:rPr>
              <w:t xml:space="preserve">Documentation</w:t>
            </w:r>
          </w:p>
        </w:tc>
        <w:tc>
          <w:tcPr/>
          <w:p>
            <w:pPr>
              <w:pStyle w:val="Compact"/>
              <w:jc w:val="lef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jc w:val="lef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29"/>
    <w:bookmarkStart w:id="30" w:name="tool-capabilities"/>
    <w:p>
      <w:pPr>
        <w:pStyle w:val="Heading2"/>
      </w:pPr>
      <w:r>
        <w:t xml:space="preserve">Tool Capabilities</w:t>
      </w:r>
    </w:p>
    <w:p>
      <w:pPr>
        <w:pStyle w:val="FirstParagraph"/>
      </w:pPr>
      <w:r>
        <w:t xml:space="preserve">Delivered by the development team (lead developers</w:t>
      </w:r>
      <w:r>
        <w:t xml:space="preserve"> </w:t>
      </w:r>
      <w:r>
        <w:rPr>
          <w:bCs/>
          <w:b/>
        </w:rPr>
        <w:t xml:space="preserve">HS</w:t>
      </w:r>
      <w:r>
        <w:t xml:space="preserve"> </w:t>
      </w:r>
      <w:r>
        <w:t xml:space="preserve">and</w:t>
      </w:r>
      <w:r>
        <w:t xml:space="preserve"> </w:t>
      </w:r>
      <w:r>
        <w:rPr>
          <w:bCs/>
          <w:b/>
        </w:rPr>
        <w:t xml:space="preserve">MM</w:t>
      </w:r>
      <w:r>
        <w:t xml:space="preserve">, supporting developer</w:t>
      </w:r>
      <w:r>
        <w:t xml:space="preserve"> </w:t>
      </w:r>
      <w:r>
        <w:rPr>
          <w:bCs/>
          <w:b/>
        </w:rPr>
        <w:t xml:space="preserve">BS</w:t>
      </w:r>
      <w:r>
        <w:t xml:space="preserve">, team lead</w:t>
      </w:r>
      <w:r>
        <w:t xml:space="preserve"> </w:t>
      </w:r>
      <w:r>
        <w:rPr>
          <w:bCs/>
          <w:b/>
        </w:rPr>
        <w:t xml:space="preserve">DT</w:t>
      </w:r>
      <w:r>
        <w:t xml:space="preserve">); summarized here for binder context. Full technical credit belongs to the team.</w:t>
      </w:r>
    </w:p>
    <w:p>
      <w:pPr>
        <w:numPr>
          <w:ilvl w:val="0"/>
          <w:numId w:val="1004"/>
        </w:numPr>
        <w:pStyle w:val="Compact"/>
      </w:pPr>
      <w:r>
        <w:t xml:space="preserve">Composite-signal duplicate detection across names, addresses, emails, and phone numbers.</w:t>
      </w:r>
    </w:p>
    <w:p>
      <w:pPr>
        <w:numPr>
          <w:ilvl w:val="0"/>
          <w:numId w:val="1004"/>
        </w:numPr>
        <w:pStyle w:val="Compact"/>
      </w:pPr>
      <w:r>
        <w:t xml:space="preserve">Configurable sensitivity thresholds with weighted confidence scoring.</w:t>
      </w:r>
    </w:p>
    <w:p>
      <w:pPr>
        <w:numPr>
          <w:ilvl w:val="0"/>
          <w:numId w:val="1004"/>
        </w:numPr>
        <w:pStyle w:val="Compact"/>
      </w:pPr>
      <w:r>
        <w:t xml:space="preserve">Flagged-record reporting with field-level match breakdown for staff review.</w:t>
      </w:r>
    </w:p>
    <w:p>
      <w:r>
        <w:pict>
          <v:rect style="width:0;height:1.5pt" o:hralign="center" o:hrstd="t" o:hr="t"/>
        </w:pict>
      </w:r>
    </w:p>
    <w:bookmarkEnd w:id="30"/>
    <w:bookmarkStart w:id="31" w:name="outcomes"/>
    <w:p>
      <w:pPr>
        <w:pStyle w:val="Heading2"/>
      </w:pPr>
      <w:r>
        <w:t xml:space="preserve">Outcomes</w:t>
      </w:r>
    </w:p>
    <w:p>
      <w:pPr>
        <w:numPr>
          <w:ilvl w:val="0"/>
          <w:numId w:val="1005"/>
        </w:numPr>
        <w:pStyle w:val="Compact"/>
      </w:pPr>
      <w:r>
        <w:t xml:space="preserve">Tool operational and in use by Student Services for ongoing enrollment-cycle screening.</w:t>
      </w:r>
    </w:p>
    <w:p>
      <w:pPr>
        <w:numPr>
          <w:ilvl w:val="0"/>
          <w:numId w:val="1005"/>
        </w:numPr>
        <w:pStyle w:val="Compact"/>
      </w:pPr>
      <w:r>
        <w:t xml:space="preserve">Manual review burden reduced from ~12,000 records to a tractable flagged subset.</w:t>
      </w:r>
    </w:p>
    <w:p>
      <w:pPr>
        <w:numPr>
          <w:ilvl w:val="0"/>
          <w:numId w:val="1005"/>
        </w:numPr>
        <w:pStyle w:val="Compact"/>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numPr>
          <w:ilvl w:val="0"/>
          <w:numId w:val="1005"/>
        </w:numPr>
        <w:pStyle w:val="Compact"/>
      </w:pPr>
      <w:r>
        <w:t xml:space="preserve">Requirements and documentation artifacts available for the team’s continued refinement and for any future similar engagements.</w:t>
      </w:r>
    </w:p>
    <w:p>
      <w:pPr>
        <w:numPr>
          <w:ilvl w:val="0"/>
          <w:numId w:val="1005"/>
        </w:numPr>
        <w:pStyle w:val="Compact"/>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31"/>
    <w:bookmarkStart w:id="32"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Deploying detection tooling places FTCC ahead of the NC Community College System’s current posture — which research indicates</w:t>
      </w:r>
      <w:r>
        <w:t xml:space="preserve"> </w:t>
      </w:r>
      <w:r>
        <w:rPr>
          <w:bCs/>
          <w:b/>
        </w:rPr>
        <w:t xml:space="preserve">has not yet adopted</w:t>
      </w:r>
      <w:r>
        <w:t xml:space="preserve"> </w:t>
      </w:r>
      <w:r>
        <w:t xml:space="preserve">the AI-powered screening, identity verification, or system-wide fraud prevention frameworks deployed by peer systems in Virginia, California, and Pennsylvania — and aligns with the Department of Education’s escalating enforcement posture.</w:t>
      </w:r>
    </w:p>
    <w:p>
      <w:r>
        <w:pict>
          <v:rect style="width:0;height:1.5pt" o:hralign="center" o:hrstd="t" o:hr="t"/>
        </w:pict>
      </w:r>
    </w:p>
    <w:p>
      <w:pPr>
        <w:pStyle w:val="FirstParagraph"/>
      </w:pPr>
      <w:r>
        <w:rPr>
          <w:iCs/>
          <w:i/>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2026-05-18T00:26:46Z</dcterms:created>
  <dcterms:modified xsi:type="dcterms:W3CDTF">2026-05-18T00:26:46Z</dcterms:modified>
</cp:coreProperties>
</file>

<file path=docProps/custom.xml><?xml version="1.0" encoding="utf-8"?>
<Properties xmlns="http://schemas.openxmlformats.org/officeDocument/2006/custom-properties" xmlns:vt="http://schemas.openxmlformats.org/officeDocument/2006/docPropsVTypes"/>
</file>