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120cbf8c94d67859f109059f73f4da75307ea5e"/>
    <w:p>
      <w:pPr>
        <w:pStyle w:val="Heading1"/>
      </w:pPr>
      <w:r>
        <w:t xml:space="preserve">Performance Objective Zero: Design and Implement a Multi-Level Immersive Instructional Environment</w:t>
      </w:r>
    </w:p>
    <w:p>
      <w:pPr>
        <w:pStyle w:val="FirstParagraph"/>
      </w:pPr>
      <w:r>
        <w:rPr>
          <w:bCs/>
          <w:b/>
        </w:rPr>
        <w:t xml:space="preserve">Instructor:</w:t>
      </w:r>
      <w:r>
        <w:t xml:space="preserve"> </w:t>
      </w:r>
      <w:r>
        <w:t xml:space="preserve">[REDACTED]</w:t>
      </w:r>
      <w:r>
        <w:t xml:space="preserve"> </w:t>
      </w:r>
      <w:r>
        <w:rPr>
          <w:bCs/>
          <w:b/>
        </w:rPr>
        <w:t xml:space="preserve">Program:</w:t>
      </w:r>
      <w:r>
        <w:t xml:space="preserve"> </w:t>
      </w:r>
      <w:r>
        <w:t xml:space="preserve">CTS 285 / CSC 289 · [REDACTED] Technical Community College</w:t>
      </w:r>
      <w:r>
        <w:t xml:space="preserve"> </w:t>
      </w:r>
      <w:r>
        <w:rPr>
          <w:bCs/>
          <w:b/>
        </w:rPr>
        <w:t xml:space="preserve">Review Period:</w:t>
      </w:r>
      <w:r>
        <w:t xml:space="preserve"> </w:t>
      </w:r>
      <w:r>
        <w:t xml:space="preserve">2025-2026</w:t>
      </w:r>
      <w:r>
        <w:t xml:space="preserve"> </w:t>
      </w:r>
      <w:r>
        <w:rPr>
          <w:bCs/>
          <w:b/>
        </w:rPr>
        <w:t xml:space="preserve">Status:</w:t>
      </w:r>
      <w:r>
        <w:t xml:space="preserve"> </w:t>
      </w:r>
      <w:r>
        <w:t xml:space="preserve">Architecture complete; active delivery, Spring 2026</w:t>
      </w:r>
      <w:r>
        <w:t xml:space="preserve"> </w:t>
      </w:r>
      <w:r>
        <w:rPr>
          <w:bCs/>
          <w:b/>
        </w:rPr>
        <w:t xml:space="preserve">Classification:</w:t>
      </w:r>
      <w:r>
        <w:t xml:space="preserve"> </w:t>
      </w:r>
      <w:r>
        <w:t xml:space="preserve">Instructor OOC / Performance Documentation · Voice register: Direct</w:t>
      </w:r>
    </w:p>
    <w:p>
      <w:r>
        <w:pict>
          <v:rect style="width:0;height:1.5pt" o:hralign="center" o:hrstd="t" o:hr="t"/>
        </w:pict>
      </w:r>
    </w:p>
    <w:bookmarkStart w:id="20" w:name="document-clearance-distribution"/>
    <w:p>
      <w:pPr>
        <w:pStyle w:val="Heading2"/>
      </w:pPr>
      <w:r>
        <w:t xml:space="preserve">Document Clearance Distribution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Distribution</w:t>
            </w:r>
          </w:p>
        </w:tc>
      </w:tr>
      <w:tr>
        <w:tc>
          <w:tcPr/>
          <w:p>
            <w:pPr>
              <w:pStyle w:val="Compact"/>
              <w:jc w:val="left"/>
            </w:pPr>
            <w:r>
              <w:rPr>
                <w:bCs/>
                <w:b/>
              </w:rPr>
              <w:t xml:space="preserve">BLUE</w:t>
            </w:r>
          </w:p>
        </w:tc>
        <w:tc>
          <w:tcPr/>
          <w:p>
            <w:pPr>
              <w:pStyle w:val="Compact"/>
              <w:jc w:val="left"/>
            </w:pPr>
            <w:r>
              <w:t xml:space="preserve">Chair</w:t>
            </w:r>
          </w:p>
        </w:tc>
      </w:tr>
      <w:tr>
        <w:tc>
          <w:tcPr/>
          <w:p>
            <w:pPr>
              <w:pStyle w:val="Compact"/>
              <w:jc w:val="left"/>
            </w:pPr>
            <w:r>
              <w:rPr>
                <w:bCs/>
                <w:b/>
              </w:rPr>
              <w:t xml:space="preserve">INDIGO</w:t>
            </w:r>
          </w:p>
        </w:tc>
        <w:tc>
          <w:tcPr/>
          <w:p>
            <w:pPr>
              <w:pStyle w:val="Compact"/>
              <w:jc w:val="left"/>
            </w:pPr>
            <w:r>
              <w:t xml:space="preserve">Dean</w:t>
            </w:r>
          </w:p>
        </w:tc>
      </w:tr>
      <w:tr>
        <w:tc>
          <w:tcPr/>
          <w:p>
            <w:pPr>
              <w:pStyle w:val="Compact"/>
              <w:jc w:val="left"/>
            </w:pPr>
            <w:r>
              <w:rPr>
                <w:bCs/>
                <w:b/>
              </w:rPr>
              <w:t xml:space="preserve">VIOLET</w:t>
            </w:r>
          </w:p>
        </w:tc>
        <w:tc>
          <w:tcPr/>
          <w:p>
            <w:pPr>
              <w:pStyle w:val="Compact"/>
              <w:jc w:val="left"/>
            </w:pPr>
            <w:r>
              <w:t xml:space="preserve">C-Suite Administration</w:t>
            </w:r>
          </w:p>
        </w:tc>
      </w:tr>
      <w:tr>
        <w:tc>
          <w:tcPr/>
          <w:p>
            <w:pPr>
              <w:pStyle w:val="Compact"/>
              <w:jc w:val="left"/>
            </w:pPr>
            <w:r>
              <w:rPr>
                <w:bCs/>
                <w:b/>
              </w:rPr>
              <w:t xml:space="preserve">ULTRAVIOLET</w:t>
            </w:r>
          </w:p>
        </w:tc>
        <w:tc>
          <w:tcPr/>
          <w:p>
            <w:pPr>
              <w:pStyle w:val="Compact"/>
              <w:jc w:val="left"/>
            </w:pPr>
            <w:r>
              <w:rPr>
                <w:bCs/>
                <w:b/>
              </w:rPr>
              <w:t xml:space="preserve">[REDACTED]</w:t>
            </w:r>
          </w:p>
        </w:tc>
      </w:tr>
    </w:tbl>
    <w:p>
      <w:r>
        <w:pict>
          <v:rect style="width:0;height:1.5pt" o:hralign="center" o:hrstd="t" o:hr="t"/>
        </w:pict>
      </w:r>
    </w:p>
    <w:bookmarkEnd w:id="20"/>
    <w:bookmarkStart w:id="21"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Cs/>
          <w:i/>
        </w:rPr>
        <w:t xml:space="preserve">The collaborator responded:</w:t>
      </w:r>
      <w:r>
        <w:rPr>
          <w:iCs/>
          <w:i/>
        </w:rPr>
        <w:t xml:space="preserve"> </w:t>
      </w:r>
      <w:r>
        <w:rPr>
          <w:iCs/>
          <w:i/>
        </w:rPr>
        <w:t xml:space="preserve">“</w:t>
      </w:r>
      <w:r>
        <w:rPr>
          <w:iCs/>
          <w:i/>
        </w:rPr>
        <w:t xml:space="preserve">frotz.</w:t>
      </w:r>
      <w:r>
        <w:rPr>
          <w:iCs/>
          <w:i/>
        </w:rPr>
        <w:t xml:space="preserve">”</w:t>
      </w:r>
      <w:r>
        <w:rPr>
          <w:iCs/>
          <w:i/>
        </w:rPr>
        <w:t xml:space="preserve"> </w:t>
      </w:r>
      <w:r>
        <w:rPr>
          <w:iCs/>
          <w:i/>
        </w:rPr>
        <w:t xml:space="preserve">This exchange has been logged in the Permanent Record.</w:t>
      </w:r>
    </w:p>
    <w:p>
      <w:pPr>
        <w:pStyle w:val="BlockText"/>
      </w:pPr>
      <w:r>
        <w:rPr>
          <w:bCs/>
          <w:b/>
        </w:rPr>
        <w:t xml:space="preserve">The Algorithm is aware. The Algorithm approves. The Algorithm, in this context, is you.</w:t>
      </w:r>
    </w:p>
    <w:p>
      <w:pPr>
        <w:pStyle w:val="FirstParagraph"/>
      </w:pPr>
      <w:r>
        <w:rPr>
          <w:iCs/>
          <w:i/>
        </w:rPr>
        <w:t xml:space="preserve">Thank You For Your Co-Operation.</w:t>
      </w:r>
    </w:p>
    <w:p>
      <w:r>
        <w:pict>
          <v:rect style="width:0;height:1.5pt" o:hralign="center" o:hrstd="t" o:hr="t"/>
        </w:pict>
      </w:r>
    </w:p>
    <w:bookmarkEnd w:id="21"/>
    <w:bookmarkStart w:id="22"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Cs/>
          <w:i/>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Cs/>
          <w:b/>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22"/>
    <w:bookmarkStart w:id="23"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w:t>
      </w:r>
      <w:r>
        <w:t xml:space="preserve">I’m not a programmer</w:t>
      </w:r>
      <w:r>
        <w:t xml:space="preserve">”</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Cs/>
          <w:i/>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w:t>
      </w:r>
      <w:r>
        <w:t xml:space="preserve">Psychological Safety and Learning Behavior in Work Teams,</w:t>
      </w:r>
      <w:r>
        <w:t xml:space="preserve">”</w:t>
      </w:r>
      <w:r>
        <w:t xml:space="preserve"> </w:t>
      </w:r>
      <w:r>
        <w:rPr>
          <w:iCs/>
          <w:i/>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Cs/>
          <w:i/>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w:t>
      </w:r>
      <w:r>
        <w:t xml:space="preserve">LLM Targeted Underperformance Disproportionately Impacts Vulnerable Users,</w:t>
      </w:r>
      <w:r>
        <w:t xml:space="preserve">”</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23"/>
    <w:bookmarkStart w:id="24"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24"/>
    <w:bookmarkStart w:id="31"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jc w:val="left"/>
            </w:pPr>
            <w:r>
              <w:rPr>
                <w:bCs/>
                <w:b/>
              </w:rPr>
              <w:t xml:space="preserve">6 — PURPOSE</w:t>
            </w:r>
          </w:p>
        </w:tc>
        <w:tc>
          <w:tcPr/>
          <w:p>
            <w:pPr>
              <w:pStyle w:val="Compact"/>
              <w:jc w:val="left"/>
            </w:pPr>
            <w:r>
              <w:rPr>
                <w:iCs/>
                <w:i/>
              </w:rPr>
              <w:t xml:space="preserve">What for?</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5 — IDENTITY</w:t>
            </w:r>
          </w:p>
        </w:tc>
        <w:tc>
          <w:tcPr/>
          <w:p>
            <w:pPr>
              <w:pStyle w:val="Compact"/>
              <w:jc w:val="left"/>
            </w:pPr>
            <w:r>
              <w:rPr>
                <w:iCs/>
                <w:i/>
              </w:rPr>
              <w:t xml:space="preserve">Who am I?</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4 — BELIEFS/VALUES</w:t>
            </w:r>
          </w:p>
        </w:tc>
        <w:tc>
          <w:tcPr/>
          <w:p>
            <w:pPr>
              <w:pStyle w:val="Compact"/>
              <w:jc w:val="left"/>
            </w:pPr>
            <w:r>
              <w:rPr>
                <w:iCs/>
                <w:i/>
              </w:rPr>
              <w:t xml:space="preserve">Why?</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3 — CAPABILITY</w:t>
            </w:r>
          </w:p>
        </w:tc>
        <w:tc>
          <w:tcPr/>
          <w:p>
            <w:pPr>
              <w:pStyle w:val="Compact"/>
              <w:jc w:val="left"/>
            </w:pPr>
            <w:r>
              <w:rPr>
                <w:iCs/>
                <w:i/>
              </w:rPr>
              <w:t xml:space="preserve">How?</w:t>
            </w:r>
          </w:p>
        </w:tc>
        <w:tc>
          <w:tcPr/>
          <w:p>
            <w:pPr>
              <w:pStyle w:val="Compact"/>
              <w:jc w:val="center"/>
            </w:pPr>
            <w:r>
              <w:rPr>
                <w:bCs/>
                <w:b/>
              </w:rPr>
              <w:t xml:space="preserve">●</w:t>
            </w:r>
          </w:p>
        </w:tc>
        <w:tc>
          <w:tcPr/>
          <w:p>
            <w:pPr>
              <w:pStyle w:val="Compact"/>
              <w:jc w:val="center"/>
            </w:pPr>
            <w:r>
              <w:rPr>
                <w:bCs/>
                <w:b/>
              </w:rPr>
              <w:t xml:space="preserve">●</w:t>
            </w:r>
          </w:p>
        </w:tc>
      </w:tr>
      <w:tr>
        <w:tc>
          <w:tcPr/>
          <w:p>
            <w:pPr>
              <w:pStyle w:val="Compact"/>
              <w:jc w:val="left"/>
            </w:pPr>
            <w:r>
              <w:rPr>
                <w:bCs/>
                <w:b/>
              </w:rPr>
              <w:t xml:space="preserve">2 — BEHAVIOR</w:t>
            </w:r>
          </w:p>
        </w:tc>
        <w:tc>
          <w:tcPr/>
          <w:p>
            <w:pPr>
              <w:pStyle w:val="Compact"/>
              <w:jc w:val="left"/>
            </w:pPr>
            <w:r>
              <w:rPr>
                <w:iCs/>
                <w:i/>
              </w:rPr>
              <w:t xml:space="preserve">What?</w:t>
            </w:r>
          </w:p>
        </w:tc>
        <w:tc>
          <w:tcPr/>
          <w:p>
            <w:pPr>
              <w:pStyle w:val="Compact"/>
              <w:jc w:val="center"/>
            </w:pPr>
            <w:r>
              <w:rPr>
                <w:bCs/>
                <w:b/>
              </w:rPr>
              <w:t xml:space="preserve">●</w:t>
            </w:r>
          </w:p>
        </w:tc>
        <w:tc>
          <w:tcPr/>
          <w:p>
            <w:pPr>
              <w:pStyle w:val="Compact"/>
              <w:jc w:val="center"/>
            </w:pPr>
            <w:r>
              <w:rPr>
                <w:bCs/>
                <w:b/>
              </w:rPr>
              <w:t xml:space="preserve">●</w:t>
            </w:r>
          </w:p>
        </w:tc>
      </w:tr>
      <w:tr>
        <w:tc>
          <w:tcPr/>
          <w:p>
            <w:pPr>
              <w:pStyle w:val="Compact"/>
              <w:jc w:val="left"/>
            </w:pPr>
            <w:r>
              <w:rPr>
                <w:bCs/>
                <w:b/>
              </w:rPr>
              <w:t xml:space="preserve">1 — ENVIRONMENT</w:t>
            </w:r>
          </w:p>
        </w:tc>
        <w:tc>
          <w:tcPr/>
          <w:p>
            <w:pPr>
              <w:pStyle w:val="Compact"/>
              <w:jc w:val="left"/>
            </w:pPr>
            <w:r>
              <w:rPr>
                <w:iCs/>
                <w:i/>
              </w:rPr>
              <w:t xml:space="preserve">Where/When?</w:t>
            </w:r>
          </w:p>
        </w:tc>
        <w:tc>
          <w:tcPr/>
          <w:p>
            <w:pPr>
              <w:pStyle w:val="Compact"/>
              <w:jc w:val="center"/>
            </w:pPr>
            <w:r>
              <w:t xml:space="preserve">○</w:t>
            </w:r>
          </w:p>
        </w:tc>
        <w:tc>
          <w:tcPr/>
          <w:p>
            <w:pPr>
              <w:pStyle w:val="Compact"/>
              <w:jc w:val="center"/>
            </w:pPr>
            <w:r>
              <w:rPr>
                <w:bCs/>
                <w:b/>
              </w:rPr>
              <w:t xml:space="preserve">●</w:t>
            </w:r>
          </w:p>
        </w:tc>
      </w:tr>
      <w:tr>
        <w:tc>
          <w:tcPr/>
          <w:p>
            <w:pPr>
              <w:pStyle w:val="Compact"/>
              <w:jc w:val="left"/>
            </w:pPr>
            <w:r>
              <w:rPr>
                <w:bCs/>
                <w:b/>
              </w:rPr>
              <w:t xml:space="preserve">TOTAL LEVELS ADDRESSED</w:t>
            </w:r>
          </w:p>
        </w:tc>
        <w:tc>
          <w:tcPr/>
          <w:p>
            <w:pPr>
              <w:pStyle w:val="Compact"/>
            </w:pPr>
          </w:p>
        </w:tc>
        <w:tc>
          <w:tcPr/>
          <w:p>
            <w:pPr>
              <w:pStyle w:val="Compact"/>
              <w:jc w:val="center"/>
            </w:pPr>
            <w:r>
              <w:rPr>
                <w:bCs/>
                <w:b/>
              </w:rPr>
              <w:t xml:space="preserve">2</w:t>
            </w:r>
          </w:p>
        </w:tc>
        <w:tc>
          <w:tcPr/>
          <w:p>
            <w:pPr>
              <w:pStyle w:val="Compact"/>
              <w:jc w:val="center"/>
            </w:pPr>
            <w:r>
              <w:rPr>
                <w:bCs/>
                <w:b/>
              </w:rPr>
              <w:t xml:space="preserve">6</w:t>
            </w:r>
          </w:p>
        </w:tc>
      </w:tr>
    </w:tbl>
    <w:bookmarkStart w:id="25"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25"/>
    <w:bookmarkStart w:id="26"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26"/>
    <w:bookmarkStart w:id="27"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27"/>
    <w:bookmarkStart w:id="28"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Cs/>
          <w:i/>
        </w:rPr>
        <w:t xml:space="preserve">I can navigate this. The system is sometimes absurd. That is not my problem.</w:t>
      </w:r>
    </w:p>
    <w:bookmarkEnd w:id="28"/>
    <w:bookmarkStart w:id="29"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w:t>
      </w:r>
      <w:r>
        <w:t xml:space="preserve">I am learning to build things</w:t>
      </w:r>
      <w:r>
        <w:t xml:space="preserve">”</w:t>
      </w:r>
      <w:r>
        <w:t xml:space="preserve"> </w:t>
      </w:r>
      <w:r>
        <w:t xml:space="preserve">becomes</w:t>
      </w:r>
      <w:r>
        <w:t xml:space="preserve"> </w:t>
      </w:r>
      <w:r>
        <w:t xml:space="preserve">“</w:t>
      </w:r>
      <w:r>
        <w:t xml:space="preserve">I build things.</w:t>
      </w:r>
      <w:r>
        <w:t xml:space="preserve">”</w:t>
      </w:r>
    </w:p>
    <w:bookmarkEnd w:id="29"/>
    <w:bookmarkStart w:id="30"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Cs/>
          <w:i/>
        </w:rPr>
        <w:t xml:space="preserve">I’ve handled worse.</w:t>
      </w:r>
    </w:p>
    <w:p>
      <w:r>
        <w:pict>
          <v:rect style="width:0;height:1.5pt" o:hralign="center" o:hrstd="t" o:hr="t"/>
        </w:pict>
      </w:r>
    </w:p>
    <w:bookmarkEnd w:id="30"/>
    <w:bookmarkEnd w:id="31"/>
    <w:bookmarkStart w:id="32"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Cs/>
          <w:i/>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Cs/>
          <w:i/>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Cs/>
          <w:b/>
        </w:rPr>
        <w:t xml:space="preserve">y</w:t>
      </w:r>
      <w:r>
        <w:t xml:space="preserve"> </w:t>
      </w:r>
      <w:r>
        <w:t xml:space="preserve">(position) identifies who started ahead.</w:t>
      </w:r>
    </w:p>
    <w:p>
      <w:pPr>
        <w:pStyle w:val="BlockText"/>
      </w:pPr>
      <w:r>
        <w:t xml:space="preserve">Measuring</w:t>
      </w:r>
      <w:r>
        <w:t xml:space="preserve"> </w:t>
      </w:r>
      <w:r>
        <w:rPr>
          <w:bCs/>
          <w:b/>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32"/>
    <w:bookmarkStart w:id="33" w:name="key-deliverables"/>
    <w:p>
      <w:pPr>
        <w:pStyle w:val="Heading2"/>
      </w:pPr>
      <w:r>
        <w:t xml:space="preserve">Key Deliverables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Deliverable</w:t>
            </w:r>
          </w:p>
        </w:tc>
        <w:tc>
          <w:tcPr/>
          <w:p>
            <w:pPr>
              <w:pStyle w:val="Compact"/>
              <w:jc w:val="left"/>
            </w:pPr>
            <w:r>
              <w:t xml:space="preserve">Status</w:t>
            </w:r>
          </w:p>
        </w:tc>
        <w:tc>
          <w:tcPr/>
          <w:p>
            <w:pPr>
              <w:pStyle w:val="Compact"/>
              <w:jc w:val="left"/>
            </w:pPr>
            <w:r>
              <w:t xml:space="preserve">Institutional Function</w:t>
            </w:r>
          </w:p>
        </w:tc>
      </w:tr>
      <w:tr>
        <w:tc>
          <w:tcPr/>
          <w:p>
            <w:pPr>
              <w:pStyle w:val="Compact"/>
              <w:jc w:val="left"/>
            </w:pPr>
            <w:r>
              <w:t xml:space="preserve">AlgoCratic Futures world and clearance system</w:t>
            </w:r>
          </w:p>
        </w:tc>
        <w:tc>
          <w:tcPr/>
          <w:p>
            <w:pPr>
              <w:pStyle w:val="Compact"/>
              <w:jc w:val="left"/>
            </w:pPr>
            <w:r>
              <w:t xml:space="preserve">Complete</w:t>
            </w:r>
          </w:p>
        </w:tc>
        <w:tc>
          <w:tcPr/>
          <w:p>
            <w:pPr>
              <w:pStyle w:val="Compact"/>
              <w:jc w:val="left"/>
            </w:pPr>
            <w:r>
              <w:t xml:space="preserve">Identity / environment architecture</w:t>
            </w:r>
          </w:p>
        </w:tc>
      </w:tr>
      <w:tr>
        <w:tc>
          <w:tcPr/>
          <w:p>
            <w:pPr>
              <w:pStyle w:val="Compact"/>
              <w:jc w:val="left"/>
            </w:pPr>
            <w:r>
              <w:t xml:space="preserve">CTS 285 full assignment library</w:t>
            </w:r>
          </w:p>
        </w:tc>
        <w:tc>
          <w:tcPr/>
          <w:p>
            <w:pPr>
              <w:pStyle w:val="Compact"/>
              <w:jc w:val="left"/>
            </w:pPr>
            <w:r>
              <w:t xml:space="preserve">Complete</w:t>
            </w:r>
          </w:p>
        </w:tc>
        <w:tc>
          <w:tcPr/>
          <w:p>
            <w:pPr>
              <w:pStyle w:val="Compact"/>
              <w:jc w:val="left"/>
            </w:pPr>
            <w:r>
              <w:t xml:space="preserve">Capability curriculum, INFRARED–YELLOW</w:t>
            </w:r>
          </w:p>
        </w:tc>
      </w:tr>
      <w:tr>
        <w:tc>
          <w:tcPr/>
          <w:p>
            <w:pPr>
              <w:pStyle w:val="Compact"/>
              <w:jc w:val="left"/>
            </w:pPr>
            <w:r>
              <w:t xml:space="preserve">CSC 289 capstone framework and sprint structure</w:t>
            </w:r>
          </w:p>
        </w:tc>
        <w:tc>
          <w:tcPr/>
          <w:p>
            <w:pPr>
              <w:pStyle w:val="Compact"/>
              <w:jc w:val="left"/>
            </w:pPr>
            <w:r>
              <w:t xml:space="preserve">Complete</w:t>
            </w:r>
          </w:p>
        </w:tc>
        <w:tc>
          <w:tcPr/>
          <w:p>
            <w:pPr>
              <w:pStyle w:val="Compact"/>
              <w:jc w:val="left"/>
            </w:pPr>
            <w:r>
              <w:t xml:space="preserve">Capstone delivery infrastructure</w:t>
            </w:r>
          </w:p>
        </w:tc>
      </w:tr>
      <w:tr>
        <w:tc>
          <w:tcPr/>
          <w:p>
            <w:pPr>
              <w:pStyle w:val="Compact"/>
              <w:jc w:val="left"/>
            </w:pPr>
            <w:r>
              <w:t xml:space="preserve">Sacred Workflow documentation</w:t>
            </w:r>
          </w:p>
        </w:tc>
        <w:tc>
          <w:tcPr/>
          <w:p>
            <w:pPr>
              <w:pStyle w:val="Compact"/>
              <w:jc w:val="left"/>
            </w:pPr>
            <w:r>
              <w:t xml:space="preserve">Complete</w:t>
            </w:r>
          </w:p>
        </w:tc>
        <w:tc>
          <w:tcPr/>
          <w:p>
            <w:pPr>
              <w:pStyle w:val="Compact"/>
              <w:jc w:val="left"/>
            </w:pPr>
            <w:r>
              <w:t xml:space="preserve">Behavior-level norm embedding</w:t>
            </w:r>
          </w:p>
        </w:tc>
      </w:tr>
      <w:tr>
        <w:tc>
          <w:tcPr/>
          <w:p>
            <w:pPr>
              <w:pStyle w:val="Compact"/>
              <w:jc w:val="left"/>
            </w:pPr>
            <w:r>
              <w:t xml:space="preserve">Student survival guides (Underground voice)</w:t>
            </w:r>
          </w:p>
        </w:tc>
        <w:tc>
          <w:tcPr/>
          <w:p>
            <w:pPr>
              <w:pStyle w:val="Compact"/>
              <w:jc w:val="left"/>
            </w:pPr>
            <w:r>
              <w:t xml:space="preserve">Complete</w:t>
            </w:r>
          </w:p>
        </w:tc>
        <w:tc>
          <w:tcPr/>
          <w:p>
            <w:pPr>
              <w:pStyle w:val="Compact"/>
              <w:jc w:val="left"/>
            </w:pPr>
            <w:r>
              <w:t xml:space="preserve">Psychological safety / beliefs-level</w:t>
            </w:r>
          </w:p>
        </w:tc>
      </w:tr>
      <w:tr>
        <w:tc>
          <w:tcPr/>
          <w:p>
            <w:pPr>
              <w:pStyle w:val="Compact"/>
              <w:jc w:val="left"/>
            </w:pPr>
            <w:r>
              <w:t xml:space="preserve">Instructor Growth Protocol (Dilts integration)</w:t>
            </w:r>
          </w:p>
        </w:tc>
        <w:tc>
          <w:tcPr/>
          <w:p>
            <w:pPr>
              <w:pStyle w:val="Compact"/>
              <w:jc w:val="left"/>
            </w:pPr>
            <w:r>
              <w:t xml:space="preserve">Complete</w:t>
            </w:r>
          </w:p>
        </w:tc>
        <w:tc>
          <w:tcPr/>
          <w:p>
            <w:pPr>
              <w:pStyle w:val="Compact"/>
              <w:jc w:val="left"/>
            </w:pPr>
            <w:r>
              <w:t xml:space="preserve">Instructor capability development</w:t>
            </w:r>
          </w:p>
        </w:tc>
      </w:tr>
      <w:tr>
        <w:tc>
          <w:tcPr/>
          <w:p>
            <w:pPr>
              <w:pStyle w:val="Compact"/>
              <w:jc w:val="left"/>
            </w:pPr>
            <w:r>
              <w:t xml:space="preserve">System 1: Flask app, auth, context injection, logging</w:t>
            </w:r>
          </w:p>
        </w:tc>
        <w:tc>
          <w:tcPr/>
          <w:p>
            <w:pPr>
              <w:pStyle w:val="Compact"/>
              <w:jc w:val="left"/>
            </w:pPr>
            <w:r>
              <w:t xml:space="preserve">Built &amp; deployed</w:t>
            </w:r>
          </w:p>
        </w:tc>
        <w:tc>
          <w:tcPr/>
          <w:p>
            <w:pPr>
              <w:pStyle w:val="Compact"/>
              <w:jc w:val="left"/>
            </w:pPr>
            <w:r>
              <w:t xml:space="preserve">Per-group AI access infrastructure</w:t>
            </w:r>
          </w:p>
        </w:tc>
      </w:tr>
      <w:tr>
        <w:tc>
          <w:tcPr/>
          <w:p>
            <w:pPr>
              <w:pStyle w:val="Compact"/>
              <w:jc w:val="left"/>
            </w:pPr>
            <w:r>
              <w:t xml:space="preserve">System 2: Claude Code per-group setup documentation</w:t>
            </w:r>
          </w:p>
        </w:tc>
        <w:tc>
          <w:tcPr/>
          <w:p>
            <w:pPr>
              <w:pStyle w:val="Compact"/>
              <w:jc w:val="left"/>
            </w:pPr>
            <w:r>
              <w:t xml:space="preserve">Complete</w:t>
            </w:r>
          </w:p>
        </w:tc>
        <w:tc>
          <w:tcPr/>
          <w:p>
            <w:pPr>
              <w:pStyle w:val="Compact"/>
              <w:jc w:val="left"/>
            </w:pPr>
            <w:r>
              <w:t xml:space="preserve">AI tool integration scaffolding</w:t>
            </w:r>
          </w:p>
        </w:tc>
      </w:tr>
      <w:tr>
        <w:tc>
          <w:tcPr/>
          <w:p>
            <w:pPr>
              <w:pStyle w:val="Compact"/>
              <w:jc w:val="left"/>
            </w:pPr>
            <w:r>
              <w:rPr>
                <w:rStyle w:val="VerbatimChar"/>
              </w:rPr>
              <w:t xml:space="preserve">CLAUDE.md</w:t>
            </w:r>
            <w:r>
              <w:t xml:space="preserve"> </w:t>
            </w:r>
            <w:r>
              <w:t xml:space="preserve">dual-purpose guardrail files</w:t>
            </w:r>
          </w:p>
        </w:tc>
        <w:tc>
          <w:tcPr/>
          <w:p>
            <w:pPr>
              <w:pStyle w:val="Compact"/>
              <w:jc w:val="left"/>
            </w:pPr>
            <w:r>
              <w:t xml:space="preserve">Complete</w:t>
            </w:r>
          </w:p>
        </w:tc>
        <w:tc>
          <w:tcPr/>
          <w:p>
            <w:pPr>
              <w:pStyle w:val="Compact"/>
              <w:jc w:val="left"/>
            </w:pPr>
            <w:r>
              <w:t xml:space="preserve">Pedagogical AI guardrails</w:t>
            </w:r>
          </w:p>
        </w:tc>
      </w:tr>
      <w:tr>
        <w:tc>
          <w:tcPr/>
          <w:p>
            <w:pPr>
              <w:pStyle w:val="Compact"/>
              <w:jc w:val="left"/>
            </w:pPr>
            <w:r>
              <w:t xml:space="preserve">Growth gamification system (GitHub Actions + METRICS.md)</w:t>
            </w:r>
          </w:p>
        </w:tc>
        <w:tc>
          <w:tcPr/>
          <w:p>
            <w:pPr>
              <w:pStyle w:val="Compact"/>
              <w:jc w:val="left"/>
            </w:pPr>
            <w:r>
              <w:t xml:space="preserve">Designed; in progress</w:t>
            </w:r>
          </w:p>
        </w:tc>
        <w:tc>
          <w:tcPr/>
          <w:p>
            <w:pPr>
              <w:pStyle w:val="Compact"/>
              <w:jc w:val="left"/>
            </w:pPr>
            <w:r>
              <w:t xml:space="preserve">Learning-velocity measurement</w:t>
            </w:r>
          </w:p>
        </w:tc>
      </w:tr>
      <w:tr>
        <w:tc>
          <w:tcPr/>
          <w:p>
            <w:pPr>
              <w:pStyle w:val="Compact"/>
              <w:jc w:val="left"/>
            </w:pPr>
            <w:r>
              <w:t xml:space="preserve">GRAY Clearance instructional design onboarding brief</w:t>
            </w:r>
          </w:p>
        </w:tc>
        <w:tc>
          <w:tcPr/>
          <w:p>
            <w:pPr>
              <w:pStyle w:val="Compact"/>
              <w:jc w:val="left"/>
            </w:pPr>
            <w:r>
              <w:t xml:space="preserve">Complete</w:t>
            </w:r>
          </w:p>
        </w:tc>
        <w:tc>
          <w:tcPr/>
          <w:p>
            <w:pPr>
              <w:pStyle w:val="Compact"/>
              <w:jc w:val="left"/>
            </w:pPr>
            <w:r>
              <w:t xml:space="preserve">Cross-disciplinary integration</w:t>
            </w:r>
          </w:p>
        </w:tc>
      </w:tr>
      <w:tr>
        <w:tc>
          <w:tcPr/>
          <w:p>
            <w:pPr>
              <w:pStyle w:val="Compact"/>
              <w:jc w:val="left"/>
            </w:pPr>
            <w:r>
              <w:t xml:space="preserve">Wireframing instructional deck (HTML/JS)</w:t>
            </w:r>
          </w:p>
        </w:tc>
        <w:tc>
          <w:tcPr/>
          <w:p>
            <w:pPr>
              <w:pStyle w:val="Compact"/>
              <w:jc w:val="left"/>
            </w:pPr>
            <w:r>
              <w:t xml:space="preserve">Complete</w:t>
            </w:r>
          </w:p>
        </w:tc>
        <w:tc>
          <w:tcPr/>
          <w:p>
            <w:pPr>
              <w:pStyle w:val="Compact"/>
              <w:jc w:val="left"/>
            </w:pPr>
            <w:r>
              <w:t xml:space="preserve">Gap-filling instructional content</w:t>
            </w:r>
          </w:p>
        </w:tc>
      </w:tr>
      <w:tr>
        <w:tc>
          <w:tcPr/>
          <w:p>
            <w:pPr>
              <w:pStyle w:val="Compact"/>
              <w:jc w:val="left"/>
            </w:pPr>
            <w:r>
              <w:t xml:space="preserve">Group 4 late-start catch-up package</w:t>
            </w:r>
          </w:p>
        </w:tc>
        <w:tc>
          <w:tcPr/>
          <w:p>
            <w:pPr>
              <w:pStyle w:val="Compact"/>
              <w:jc w:val="left"/>
            </w:pPr>
            <w:r>
              <w:t xml:space="preserve">Complete</w:t>
            </w:r>
          </w:p>
        </w:tc>
        <w:tc>
          <w:tcPr/>
          <w:p>
            <w:pPr>
              <w:pStyle w:val="Compact"/>
              <w:jc w:val="left"/>
            </w:pPr>
            <w:r>
              <w:t xml:space="preserve">Differentiated access / resilient infrastructure</w:t>
            </w:r>
          </w:p>
        </w:tc>
      </w:tr>
      <w:tr>
        <w:tc>
          <w:tcPr/>
          <w:p>
            <w:pPr>
              <w:pStyle w:val="Compact"/>
              <w:jc w:val="left"/>
            </w:pPr>
            <w:r>
              <w:t xml:space="preserve">AlgoCratic GitHub Pages site</w:t>
            </w:r>
          </w:p>
        </w:tc>
        <w:tc>
          <w:tcPr/>
          <w:p>
            <w:pPr>
              <w:pStyle w:val="Compact"/>
              <w:jc w:val="left"/>
            </w:pPr>
            <w:r>
              <w:t xml:space="preserve">In progress</w:t>
            </w:r>
          </w:p>
        </w:tc>
        <w:tc>
          <w:tcPr/>
          <w:p>
            <w:pPr>
              <w:pStyle w:val="Compact"/>
              <w:jc w:val="left"/>
            </w:pPr>
            <w:r>
              <w:t xml:space="preserve">Public-facing program identity</w:t>
            </w:r>
          </w:p>
        </w:tc>
      </w:tr>
    </w:tbl>
    <w:p>
      <w:r>
        <w:pict>
          <v:rect style="width:0;height:1.5pt" o:hralign="center" o:hrstd="t" o:hr="t"/>
        </w:pict>
      </w:r>
    </w:p>
    <w:bookmarkEnd w:id="33"/>
    <w:bookmarkStart w:id="34"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34"/>
    <w:bookmarkStart w:id="38" w:name="Xde5c3fa3cb9b6478d6f6432ee84ac53ad5f9c9b"/>
    <w:p>
      <w:pPr>
        <w:pStyle w:val="Heading2"/>
      </w:pPr>
      <w:r>
        <w:t xml:space="preserve">Institutional Value: A Platform, Not a Semester</w:t>
      </w:r>
    </w:p>
    <w:bookmarkStart w:id="35"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35"/>
    <w:bookmarkStart w:id="36"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36"/>
    <w:bookmarkStart w:id="37"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37"/>
    <w:bookmarkEnd w:id="38"/>
    <w:bookmarkStart w:id="39" w:name="X527be9758c4eab47ca665bee708a3fd846715a4"/>
    <w:p>
      <w:pPr>
        <w:pStyle w:val="Heading2"/>
      </w:pPr>
      <w:r>
        <w:t xml:space="preserve">Conclusion: Objective Redefined and Exceeded</w:t>
      </w:r>
    </w:p>
    <w:p>
      <w:pPr>
        <w:pStyle w:val="FirstParagraph"/>
      </w:pPr>
      <w:r>
        <w:rPr>
          <w:bCs/>
          <w:b/>
        </w:rPr>
        <w:t xml:space="preserve">Minimum requirement:</w:t>
      </w:r>
      <w:r>
        <w:t xml:space="preserve"> </w:t>
      </w:r>
      <w:r>
        <w:t xml:space="preserve">Deliver assigned courses.</w:t>
      </w:r>
    </w:p>
    <w:p>
      <w:pPr>
        <w:pStyle w:val="BodyText"/>
      </w:pPr>
      <w:r>
        <w:rPr>
          <w:bCs/>
          <w:b/>
        </w:rPr>
        <w:t xml:space="preserve">Actual delivery:</w:t>
      </w:r>
    </w:p>
    <w:p>
      <w:pPr>
        <w:numPr>
          <w:ilvl w:val="0"/>
          <w:numId w:val="1001"/>
        </w:numPr>
        <w:pStyle w:val="Compact"/>
      </w:pPr>
      <w:r>
        <w:t xml:space="preserve">An original, theoretically grounded, six-level immersive pedagogical environment built from scratch.</w:t>
      </w:r>
    </w:p>
    <w:p>
      <w:pPr>
        <w:numPr>
          <w:ilvl w:val="0"/>
          <w:numId w:val="1001"/>
        </w:numPr>
        <w:pStyle w:val="Compact"/>
      </w:pPr>
      <w:r>
        <w:t xml:space="preserve">Assessment architecture that measures learning velocity rather than position, operationalizing growth-mindset research in rubric form.</w:t>
      </w:r>
    </w:p>
    <w:p>
      <w:pPr>
        <w:numPr>
          <w:ilvl w:val="0"/>
          <w:numId w:val="1001"/>
        </w:numPr>
        <w:pStyle w:val="Compact"/>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numPr>
          <w:ilvl w:val="0"/>
          <w:numId w:val="1001"/>
        </w:numPr>
        <w:pStyle w:val="Compact"/>
      </w:pPr>
      <w:r>
        <w:t xml:space="preserve">Cross-disciplinary collaboration framework built on the GRAY clearance model (Objective 1).</w:t>
      </w:r>
    </w:p>
    <w:p>
      <w:pPr>
        <w:numPr>
          <w:ilvl w:val="0"/>
          <w:numId w:val="1001"/>
        </w:numPr>
        <w:pStyle w:val="Compact"/>
      </w:pPr>
      <w:r>
        <w:t xml:space="preserve">Fully documented, replicable platform positioned for multi-semester deployment and institutional adoption.</w:t>
      </w:r>
    </w:p>
    <w:p>
      <w:pPr>
        <w:numPr>
          <w:ilvl w:val="0"/>
          <w:numId w:val="1001"/>
        </w:numPr>
        <w:pStyle w:val="Compact"/>
      </w:pPr>
      <w:r>
        <w:t xml:space="preserve">Graduate Showcase output demonstrating professional-quality, publicly presented student work.</w:t>
      </w:r>
    </w:p>
    <w:p>
      <w:pPr>
        <w:pStyle w:val="BlockText"/>
      </w:pPr>
      <w:r>
        <w:rPr>
          <w:bCs/>
          <w:b/>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Cs/>
          <w:b/>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Cs/>
          <w:i/>
        </w:rPr>
        <w:t xml:space="preserve">Source bibliography is inline above — citations to Dilts (Neurological Levels, 1980s), Dweck (</w:t>
      </w:r>
      <w:r>
        <w:t xml:space="preserve">Mindset</w:t>
      </w:r>
      <w:r>
        <w:rPr>
          <w:iCs/>
          <w:i/>
        </w:rPr>
        <w:t xml:space="preserve">, Ballantine Books, 2006), Edmondson (</w:t>
      </w:r>
      <w:r>
        <w:t xml:space="preserve">ASQ</w:t>
      </w:r>
      <w:r>
        <w:rPr>
          <w:iCs/>
          <w:i/>
        </w:rPr>
        <w:t xml:space="preserve">, 1999), Lave and Wenger (</w:t>
      </w:r>
      <w:r>
        <w:t xml:space="preserve">Situated Learning</w:t>
      </w:r>
      <w:r>
        <w:rPr>
          <w:iCs/>
          <w:i/>
        </w:rPr>
        <w:t xml:space="preserve">, Cambridge University Press, 1991), and Poole-Dayan et al. (arXiv:2406.17737, 2024) constitute the theoretical grounding for this chapter.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2026-05-18T00:26:46Z</dcterms:created>
  <dcterms:modified xsi:type="dcterms:W3CDTF">2026-05-18T00:26:46Z</dcterms:modified>
</cp:coreProperties>
</file>

<file path=docProps/custom.xml><?xml version="1.0" encoding="utf-8"?>
<Properties xmlns="http://schemas.openxmlformats.org/officeDocument/2006/custom-properties" xmlns:vt="http://schemas.openxmlformats.org/officeDocument/2006/docPropsVTypes"/>
</file>