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0A40" w:sz="1"/>
              <w:left w:val="single" w:color="1A0A40" w:sz="1"/>
              <w:bottom w:val="single" w:color="3D2080" w:sz="1"/>
              <w:right w:val="single" w:color="1A0A40" w:sz="1"/>
            </w:tcBorders>
            <w:shd w:fill="1A0A40" w:val="clear"/>
            <w:tcMar>
              <w:top w:type="dxa" w:w="120"/>
              <w:left w:type="dxa" w:w="180"/>
              <w:bottom w:type="dxa" w:w="60"/>
              <w:right w:type="dxa" w:w="180"/>
            </w:tcMar>
          </w:tcPr>
          <w:p>
            <w:pPr>
              <w:spacing w:after="20" w:before="0"/>
              <w:jc w:val="center"/>
            </w:pPr>
            <w:r>
              <w:rPr>
                <w:rFonts w:ascii="Arial" w:cs="Arial" w:eastAsia="Arial" w:hAnsi="Arial"/>
                <w:caps/>
                <w:color w:val="7755BB"/>
                <w:sz w:val="15"/>
                <w:szCs w:val="15"/>
              </w:rPr>
              <w:t xml:space="preserve">ALGOCRATIC FUTURES™  ·  INSTITUTIONAL EFFECTIVENESS DIVISION</w:t>
            </w:r>
          </w:p>
          <w:p>
            <w:pPr>
              <w:spacing w:after="40" w:before="0"/>
              <w:jc w:val="center"/>
            </w:pPr>
            <w:r>
              <w:rPr>
                <w:rFonts w:ascii="Arial" w:cs="Arial" w:eastAsia="Arial" w:hAnsi="Arial"/>
                <w:b/>
                <w:bCs/>
                <w:color w:val="FFFFFF"/>
                <w:sz w:val="22"/>
                <w:szCs w:val="22"/>
              </w:rPr>
              <w:t xml:space="preserve">PROGRAM ACHIEVEMENT BRIEFING  ·  SPRING 2026</w:t>
            </w:r>
          </w:p>
        </w:tc>
      </w:tr>
      <w:tr>
        <w:tc>
          <w:tcPr>
            <w:tcW w:type="dxa" w:w="10080"/>
            <w:tcBorders>
              <w:top w:val="single" w:color="3D2080" w:sz="1"/>
              <w:left w:val="single" w:color="3D2080" w:sz="1"/>
              <w:bottom w:val="single" w:color="3D2080" w:sz="1"/>
              <w:right w:val="single" w:color="3D2080" w:sz="1"/>
            </w:tcBorders>
            <w:shd w:fill="3D2080" w:val="clear"/>
            <w:tcMar>
              <w:top w:type="dxa" w:w="80"/>
              <w:left w:type="dxa" w:w="180"/>
              <w:bottom w:type="dxa" w:w="80"/>
              <w:right w:type="dxa" w:w="180"/>
            </w:tcMar>
          </w:tcPr>
          <w:p>
            <w:pPr>
              <w:spacing w:after="0" w:before="0"/>
              <w:jc w:val="center"/>
            </w:pPr>
            <w:r>
              <w:rPr>
                <w:rFonts w:ascii="Arial" w:cs="Arial" w:eastAsia="Arial" w:hAnsi="Arial"/>
                <w:b/>
                <w:bCs/>
                <w:caps/>
                <w:color w:val="DDCCFF"/>
                <w:sz w:val="16"/>
                <w:szCs w:val="16"/>
              </w:rPr>
              <w:t xml:space="preserve">CLEARANCE: INDIGO AND ABOVE  ·  DISTRIBUTION: DEAN  ·  C-SUITE ADMINISTRATION  ·  [REDACTED]</w:t>
            </w:r>
          </w:p>
        </w:tc>
      </w:tr>
    </w:tbl>
    <w:p>
      <w:pPr>
        <w:spacing w:after="100" w:before="100"/>
      </w:pPr>
      <w:r>
        <w:t xml:space="preserve"/>
      </w:r>
    </w:p>
    <w:p>
      <w:pPr>
        <w:pBdr>
          <w:bottom w:val="single" w:color="7755BB" w:sz="3" w:space="1"/>
        </w:pBdr>
        <w:spacing w:after="40" w:before="140"/>
      </w:pPr>
      <w:r>
        <w:rPr>
          <w:rFonts w:ascii="Arial" w:cs="Arial" w:eastAsia="Arial" w:hAnsi="Arial"/>
          <w:b/>
          <w:bCs/>
          <w:caps/>
          <w:color w:val="3D2080"/>
          <w:sz w:val="19"/>
          <w:szCs w:val="19"/>
        </w:rPr>
        <w:t xml:space="preserve">The Situation in Brief</w:t>
      </w:r>
    </w:p>
    <w:p>
      <w:pPr>
        <w:spacing w:after="80" w:before="40"/>
      </w:pPr>
      <w:r>
        <w:rPr>
          <w:rFonts w:ascii="Arial" w:cs="Arial" w:eastAsia="Arial" w:hAnsi="Arial"/>
          <w:b w:val="false"/>
          <w:bCs w:val="false"/>
          <w:i w:val="false"/>
          <w:iCs w:val="false"/>
          <w:color w:val="2A2A3A"/>
          <w:sz w:val="20"/>
          <w:szCs w:val="20"/>
        </w:rPr>
        <w:t xml:space="preserve">A novel instructional environment was designed, built, and deployed across two courses at [REDACTED] Technical Community College. It is not a course with updated materials. It is the infrastructure within which courses are delivered — an original six-level pedagogical system that addresses the identity, belief, and purpose barriers that standard technical curricula are not built to reach, and that the Research Triangle job market is increasingly screening for.</w:t>
      </w:r>
    </w:p>
    <w:p>
      <w:pPr>
        <w:pBdr>
          <w:bottom w:val="single" w:color="7755BB" w:sz="3" w:space="1"/>
        </w:pBdr>
        <w:spacing w:after="40" w:before="140"/>
      </w:pPr>
      <w:r>
        <w:rPr>
          <w:rFonts w:ascii="Arial" w:cs="Arial" w:eastAsia="Arial" w:hAnsi="Arial"/>
          <w:b/>
          <w:bCs/>
          <w:caps/>
          <w:color w:val="3D2080"/>
          <w:sz w:val="19"/>
          <w:szCs w:val="19"/>
        </w:rPr>
        <w:t xml:space="preserve">The Distinction That Matters</w:t>
      </w:r>
    </w:p>
    <w:p>
      <w:pPr>
        <w:spacing w:after="100" w:before="40"/>
      </w:pPr>
      <w:r>
        <w:rPr>
          <w:rFonts w:ascii="Arial" w:cs="Arial" w:eastAsia="Arial" w:hAnsi="Arial"/>
          <w:b w:val="false"/>
          <w:bCs w:val="false"/>
          <w:i w:val="false"/>
          <w:iCs w:val="false"/>
          <w:color w:val="2A2A3A"/>
          <w:sz w:val="20"/>
          <w:szCs w:val="20"/>
        </w:rPr>
        <w:t xml:space="preserve">The Google Project Management Certificate capstone asks students to manage a fictional restaurant. Thousands have done it. It is a well-regarded credential. </w:t>
      </w:r>
      <w:r>
        <w:rPr>
          <w:rFonts w:ascii="Arial" w:cs="Arial" w:eastAsia="Arial" w:hAnsi="Arial"/>
          <w:b/>
          <w:bCs/>
          <w:i w:val="false"/>
          <w:iCs w:val="false"/>
          <w:color w:val="3D2080"/>
          <w:sz w:val="20"/>
          <w:szCs w:val="20"/>
        </w:rPr>
        <w:t xml:space="preserve">What was built here is the restaurant.</w:t>
      </w:r>
      <w:r>
        <w:rPr>
          <w:rFonts w:ascii="Arial" w:cs="Arial" w:eastAsia="Arial" w:hAnsi="Arial"/>
          <w:b w:val="false"/>
          <w:bCs w:val="false"/>
          <w:i w:val="false"/>
          <w:iCs w:val="false"/>
          <w:color w:val="2A2A3A"/>
          <w:sz w:val="20"/>
          <w:szCs w:val="20"/>
        </w:rPr>
        <w:t xml:space="preserve"> An original simulation — designed from scratch, deployed with real students, producing real results — that operates at all six of Dilts' neurological levels simultaneously and measures learning velocity (dy/dx) rather than the absolute skill position that credentials typically measure.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tcBorders>
              <w:top w:val="single" w:color="7755BB" w:sz="1"/>
              <w:left w:val="single" w:color="7755BB" w:sz="4"/>
              <w:bottom w:val="single" w:color="7755BB" w:sz="1"/>
              <w:right w:val="single" w:color="CCBBEE" w:sz="1"/>
            </w:tcBorders>
            <w:shd w:fill="EEE8FF" w:val="clear"/>
            <w:tcMar>
              <w:top w:type="dxa" w:w="100"/>
              <w:left w:type="dxa" w:w="80"/>
              <w:bottom w:type="dxa" w:w="100"/>
              <w:right w:type="dxa" w:w="80"/>
            </w:tcMar>
          </w:tcPr>
          <w:p>
            <w:pPr>
              <w:spacing w:after="20" w:before="0"/>
              <w:jc w:val="center"/>
            </w:pPr>
            <w:r>
              <w:rPr>
                <w:rFonts w:ascii="Arial" w:cs="Arial" w:eastAsia="Arial" w:hAnsi="Arial"/>
                <w:b/>
                <w:bCs/>
                <w:color w:val="3D2080"/>
                <w:sz w:val="36"/>
                <w:szCs w:val="36"/>
              </w:rPr>
              <w:t xml:space="preserve">6</w:t>
            </w:r>
          </w:p>
          <w:p>
            <w:pPr>
              <w:spacing w:after="0" w:before="0"/>
              <w:jc w:val="center"/>
            </w:pPr>
            <w:r>
              <w:rPr>
                <w:rFonts w:ascii="Arial" w:cs="Arial" w:eastAsia="Arial" w:hAnsi="Arial"/>
                <w:color w:val="666688"/>
                <w:sz w:val="14"/>
                <w:szCs w:val="14"/>
              </w:rPr>
              <w:t xml:space="preserve">Dilts Levels Addressed</w:t>
            </w:r>
          </w:p>
        </w:tc>
        <w:tc>
          <w:tcPr>
            <w:tcW w:type="dxa" w:w="2016"/>
            <w:tcBorders>
              <w:top w:val="single" w:color="7755BB" w:sz="1"/>
              <w:left w:val="single" w:color="CCBBEE" w:sz="1"/>
              <w:bottom w:val="single" w:color="7755BB" w:sz="1"/>
              <w:right w:val="single" w:color="CCBBEE" w:sz="1"/>
            </w:tcBorders>
            <w:shd w:fill="EEE8FF" w:val="clear"/>
            <w:tcMar>
              <w:top w:type="dxa" w:w="100"/>
              <w:left w:type="dxa" w:w="80"/>
              <w:bottom w:type="dxa" w:w="100"/>
              <w:right w:type="dxa" w:w="80"/>
            </w:tcMar>
          </w:tcPr>
          <w:p>
            <w:pPr>
              <w:spacing w:after="20" w:before="0"/>
              <w:jc w:val="center"/>
            </w:pPr>
            <w:r>
              <w:rPr>
                <w:rFonts w:ascii="Arial" w:cs="Arial" w:eastAsia="Arial" w:hAnsi="Arial"/>
                <w:b/>
                <w:bCs/>
                <w:color w:val="3D2080"/>
                <w:sz w:val="36"/>
                <w:szCs w:val="36"/>
              </w:rPr>
              <w:t xml:space="preserve">5</w:t>
            </w:r>
          </w:p>
          <w:p>
            <w:pPr>
              <w:spacing w:after="0" w:before="0"/>
              <w:jc w:val="center"/>
            </w:pPr>
            <w:r>
              <w:rPr>
                <w:rFonts w:ascii="Arial" w:cs="Arial" w:eastAsia="Arial" w:hAnsi="Arial"/>
                <w:color w:val="666688"/>
                <w:sz w:val="14"/>
                <w:szCs w:val="14"/>
              </w:rPr>
              <w:t xml:space="preserve">Capstone Teams</w:t>
            </w:r>
          </w:p>
        </w:tc>
        <w:tc>
          <w:tcPr>
            <w:tcW w:type="dxa" w:w="2016"/>
            <w:tcBorders>
              <w:top w:val="single" w:color="7755BB" w:sz="1"/>
              <w:left w:val="single" w:color="CCBBEE" w:sz="1"/>
              <w:bottom w:val="single" w:color="7755BB" w:sz="1"/>
              <w:right w:val="single" w:color="CCBBEE" w:sz="1"/>
            </w:tcBorders>
            <w:shd w:fill="EEE8FF" w:val="clear"/>
            <w:tcMar>
              <w:top w:type="dxa" w:w="100"/>
              <w:left w:type="dxa" w:w="80"/>
              <w:bottom w:type="dxa" w:w="100"/>
              <w:right w:type="dxa" w:w="80"/>
            </w:tcMar>
          </w:tcPr>
          <w:p>
            <w:pPr>
              <w:spacing w:after="20" w:before="0"/>
              <w:jc w:val="center"/>
            </w:pPr>
            <w:r>
              <w:rPr>
                <w:rFonts w:ascii="Arial" w:cs="Arial" w:eastAsia="Arial" w:hAnsi="Arial"/>
                <w:b/>
                <w:bCs/>
                <w:color w:val="1A7A4A"/>
                <w:sz w:val="36"/>
                <w:szCs w:val="36"/>
              </w:rPr>
              <w:t xml:space="preserve">87%</w:t>
            </w:r>
          </w:p>
          <w:p>
            <w:pPr>
              <w:spacing w:after="0" w:before="0"/>
              <w:jc w:val="center"/>
            </w:pPr>
            <w:r>
              <w:rPr>
                <w:rFonts w:ascii="Arial" w:cs="Arial" w:eastAsia="Arial" w:hAnsi="Arial"/>
                <w:color w:val="666688"/>
                <w:sz w:val="14"/>
                <w:szCs w:val="14"/>
              </w:rPr>
              <w:t xml:space="preserve">Avg Collaboration Score</w:t>
            </w:r>
          </w:p>
        </w:tc>
        <w:tc>
          <w:tcPr>
            <w:tcW w:type="dxa" w:w="2016"/>
            <w:tcBorders>
              <w:top w:val="single" w:color="7755BB" w:sz="1"/>
              <w:left w:val="single" w:color="CCBBEE" w:sz="1"/>
              <w:bottom w:val="single" w:color="7755BB" w:sz="1"/>
              <w:right w:val="single" w:color="CCBBEE" w:sz="1"/>
            </w:tcBorders>
            <w:shd w:fill="EEE8FF" w:val="clear"/>
            <w:tcMar>
              <w:top w:type="dxa" w:w="100"/>
              <w:left w:type="dxa" w:w="80"/>
              <w:bottom w:type="dxa" w:w="100"/>
              <w:right w:type="dxa" w:w="80"/>
            </w:tcMar>
          </w:tcPr>
          <w:p>
            <w:pPr>
              <w:spacing w:after="20" w:before="0"/>
              <w:jc w:val="center"/>
            </w:pPr>
            <w:r>
              <w:rPr>
                <w:rFonts w:ascii="Arial" w:cs="Arial" w:eastAsia="Arial" w:hAnsi="Arial"/>
                <w:b/>
                <w:bCs/>
                <w:color w:val="3D2080"/>
                <w:sz w:val="36"/>
                <w:szCs w:val="36"/>
              </w:rPr>
              <w:t xml:space="preserve">2</w:t>
            </w:r>
          </w:p>
          <w:p>
            <w:pPr>
              <w:spacing w:after="0" w:before="0"/>
              <w:jc w:val="center"/>
            </w:pPr>
            <w:r>
              <w:rPr>
                <w:rFonts w:ascii="Arial" w:cs="Arial" w:eastAsia="Arial" w:hAnsi="Arial"/>
                <w:color w:val="666688"/>
                <w:sz w:val="14"/>
                <w:szCs w:val="14"/>
              </w:rPr>
              <w:t xml:space="preserve">Courses Delivered</w:t>
            </w:r>
          </w:p>
        </w:tc>
        <w:tc>
          <w:tcPr>
            <w:tcW w:type="dxa" w:w="2016"/>
            <w:tcBorders>
              <w:top w:val="single" w:color="7755BB" w:sz="1"/>
              <w:left w:val="single" w:color="CCBBEE" w:sz="1"/>
              <w:bottom w:val="single" w:color="7755BB" w:sz="1"/>
              <w:right w:val="single" w:color="7755BB" w:sz="4"/>
            </w:tcBorders>
            <w:shd w:fill="EEE8FF" w:val="clear"/>
            <w:tcMar>
              <w:top w:type="dxa" w:w="100"/>
              <w:left w:type="dxa" w:w="80"/>
              <w:bottom w:type="dxa" w:w="100"/>
              <w:right w:type="dxa" w:w="80"/>
            </w:tcMar>
          </w:tcPr>
          <w:p>
            <w:pPr>
              <w:spacing w:after="20" w:before="0"/>
              <w:jc w:val="center"/>
            </w:pPr>
            <w:r>
              <w:rPr>
                <w:rFonts w:ascii="Arial" w:cs="Arial" w:eastAsia="Arial" w:hAnsi="Arial"/>
                <w:b/>
                <w:bCs/>
                <w:color w:val="3D2080"/>
                <w:sz w:val="36"/>
                <w:szCs w:val="36"/>
              </w:rPr>
              <w:t xml:space="preserve">1</w:t>
            </w:r>
          </w:p>
          <w:p>
            <w:pPr>
              <w:spacing w:after="0" w:before="0"/>
              <w:jc w:val="center"/>
            </w:pPr>
            <w:r>
              <w:rPr>
                <w:rFonts w:ascii="Arial" w:cs="Arial" w:eastAsia="Arial" w:hAnsi="Arial"/>
                <w:color w:val="666688"/>
                <w:sz w:val="14"/>
                <w:szCs w:val="14"/>
              </w:rPr>
              <w:t xml:space="preserve">Original Simulation Designed</w:t>
            </w:r>
          </w:p>
        </w:tc>
      </w:tr>
    </w:tbl>
    <w:p>
      <w:pPr>
        <w:spacing w:after="100" w:before="100"/>
      </w:pPr>
      <w:r>
        <w:t xml:space="preserve"/>
      </w:r>
    </w:p>
    <w:p>
      <w:pPr>
        <w:pBdr>
          <w:bottom w:val="single" w:color="7755BB" w:sz="3" w:space="1"/>
        </w:pBdr>
        <w:spacing w:after="40" w:before="140"/>
      </w:pPr>
      <w:r>
        <w:rPr>
          <w:rFonts w:ascii="Arial" w:cs="Arial" w:eastAsia="Arial" w:hAnsi="Arial"/>
          <w:b/>
          <w:bCs/>
          <w:caps/>
          <w:color w:val="3D2080"/>
          <w:sz w:val="19"/>
          <w:szCs w:val="19"/>
        </w:rPr>
        <w:t xml:space="preserve">What Spring 2026 Demonstrated</w:t>
      </w:r>
    </w:p>
    <w:p>
      <w:pPr>
        <w:spacing w:after="80" w:before="40"/>
      </w:pPr>
      <w:r>
        <w:rPr>
          <w:rFonts w:ascii="Arial" w:cs="Arial" w:eastAsia="Arial" w:hAnsi="Arial"/>
          <w:b w:val="false"/>
          <w:bCs w:val="false"/>
          <w:i w:val="false"/>
          <w:iCs w:val="false"/>
          <w:color w:val="2A2A3A"/>
          <w:sz w:val="20"/>
          <w:szCs w:val="20"/>
        </w:rPr>
        <w:t xml:space="preserve">Five capstone teams built and publicly presented professional-quality web applications. Average collaboration rubric score: </w:t>
      </w:r>
      <w:r>
        <w:rPr>
          <w:rFonts w:ascii="Arial" w:cs="Arial" w:eastAsia="Arial" w:hAnsi="Arial"/>
          <w:b/>
          <w:bCs/>
          <w:i w:val="false"/>
          <w:iCs w:val="false"/>
          <w:color w:val="1A7A4A"/>
          <w:sz w:val="20"/>
          <w:szCs w:val="20"/>
        </w:rPr>
        <w:t xml:space="preserve">87/100</w:t>
      </w:r>
      <w:r>
        <w:rPr>
          <w:rFonts w:ascii="Arial" w:cs="Arial" w:eastAsia="Arial" w:hAnsi="Arial"/>
          <w:b w:val="false"/>
          <w:bCs w:val="false"/>
          <w:i w:val="false"/>
          <w:iCs w:val="false"/>
          <w:color w:val="2A2A3A"/>
          <w:sz w:val="20"/>
          <w:szCs w:val="20"/>
        </w:rPr>
        <w:t xml:space="preserve"> with 100% milestone completion across all cross-departmental pairings. A late-joining cohort was successfully onboarded using the framework's catch-up infrastructure — demonstrating resilience beyond the designed use case. The Graduate Showcase produced the kind of student output that reflects institutional capability to external stakeholders.</w:t>
      </w:r>
    </w:p>
    <w:p>
      <w:pPr>
        <w:pBdr>
          <w:bottom w:val="single" w:color="7755BB" w:sz="3" w:space="1"/>
        </w:pBdr>
        <w:spacing w:after="40" w:before="140"/>
      </w:pPr>
      <w:r>
        <w:rPr>
          <w:rFonts w:ascii="Arial" w:cs="Arial" w:eastAsia="Arial" w:hAnsi="Arial"/>
          <w:b/>
          <w:bCs/>
          <w:caps/>
          <w:color w:val="3D2080"/>
          <w:sz w:val="19"/>
          <w:szCs w:val="19"/>
        </w:rPr>
        <w:t xml:space="preserve">The Institutional Argument</w:t>
      </w:r>
    </w:p>
    <w:p>
      <w:pPr>
        <w:spacing w:after="100" w:before="40"/>
      </w:pPr>
      <w:r>
        <w:rPr>
          <w:rFonts w:ascii="Arial" w:cs="Arial" w:eastAsia="Arial" w:hAnsi="Arial"/>
          <w:b w:val="false"/>
          <w:bCs w:val="false"/>
          <w:i w:val="false"/>
          <w:iCs w:val="false"/>
          <w:color w:val="2A2A3A"/>
          <w:sz w:val="20"/>
          <w:szCs w:val="20"/>
        </w:rPr>
        <w:t xml:space="preserve">This is replicable infrastructure, not a semester's materials. The framework is documented, version-controlled, and deployable by any instructor willing to invest in it. It is already positioned as a template for adjacent cross-disciplinary collaborations. The iteration cost of a second semester is a fraction of the build cost. The question for institutional leadership is not whether this work is significant. The question is what it enables next.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0A40" w:sz="1"/>
              <w:left w:val="single" w:color="7755BB" w:sz="16"/>
              <w:bottom w:val="single" w:color="1A0A40" w:sz="1"/>
              <w:right w:val="single" w:color="1A0A40" w:sz="1"/>
            </w:tcBorders>
            <w:shd w:fill="1A0A40" w:val="clear"/>
            <w:tcMar>
              <w:top w:type="dxa" w:w="140"/>
              <w:left w:type="dxa" w:w="200"/>
              <w:bottom w:type="dxa" w:w="140"/>
              <w:right w:type="dxa" w:w="200"/>
            </w:tcMar>
          </w:tcPr>
          <w:p>
            <w:pPr>
              <w:spacing w:after="40" w:before="0"/>
            </w:pPr>
            <w:r>
              <w:rPr>
                <w:rFonts w:ascii="Arial" w:cs="Arial" w:eastAsia="Arial" w:hAnsi="Arial"/>
                <w:b/>
                <w:bCs/>
                <w:caps/>
                <w:color w:val="7755BB"/>
                <w:sz w:val="16"/>
                <w:szCs w:val="16"/>
              </w:rPr>
              <w:t xml:space="preserve">ASSESSMENT VERDICT</w:t>
            </w:r>
          </w:p>
          <w:p>
            <w:pPr>
              <w:spacing w:after="0" w:before="0"/>
            </w:pPr>
            <w:r>
              <w:rPr>
                <w:rFonts w:ascii="Arial" w:cs="Arial" w:eastAsia="Arial" w:hAnsi="Arial"/>
                <w:color w:val="FFFFFF"/>
                <w:sz w:val="21"/>
                <w:szCs w:val="21"/>
              </w:rPr>
              <w:t xml:space="preserve">Objective not merely met or exceeded, but operating at a level the original specification did not anticipate. The deliverable specified was effective course delivery. The deliverable built was the infrastructure that makes effective course delivery possible — and replicable, and improvable, and </w:t>
            </w:r>
            <w:r>
              <w:rPr>
                <w:rFonts w:ascii="Arial" w:cs="Arial" w:eastAsia="Arial" w:hAnsi="Arial"/>
                <w:b/>
                <w:bCs/>
                <w:color w:val="DDCCFF"/>
                <w:sz w:val="21"/>
                <w:szCs w:val="21"/>
              </w:rPr>
              <w:t xml:space="preserve">future-ready.</w:t>
            </w:r>
          </w:p>
        </w:tc>
      </w:tr>
    </w:tbl>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755BB" w:sz="1"/>
              <w:left w:val="single" w:color="3D2080" w:sz="10"/>
              <w:bottom w:val="single" w:color="7755BB" w:sz="1"/>
              <w:right w:val="single" w:color="7755BB" w:sz="1"/>
            </w:tcBorders>
            <w:shd w:fill="F0EEFF" w:val="clear"/>
            <w:tcMar>
              <w:top w:type="dxa" w:w="120"/>
              <w:left w:type="dxa" w:w="180"/>
              <w:bottom w:type="dxa" w:w="120"/>
              <w:right w:type="dxa" w:w="180"/>
            </w:tcMar>
          </w:tcPr>
          <w:p>
            <w:pPr>
              <w:spacing w:after="30" w:before="30"/>
            </w:pPr>
            <w:r>
              <w:rPr>
                <w:rFonts w:ascii="Arial" w:cs="Arial" w:eastAsia="Arial" w:hAnsi="Arial"/>
                <w:b/>
                <w:bCs/>
                <w:i w:val="false"/>
                <w:iCs w:val="false"/>
                <w:color w:val="3D2080"/>
                <w:sz w:val="20"/>
                <w:szCs w:val="20"/>
              </w:rPr>
              <w:t xml:space="preserve">Note on evaluation criteria:</w:t>
            </w:r>
          </w:p>
          <w:p>
            <w:pPr>
              <w:spacing w:after="30" w:before="30"/>
            </w:pPr>
            <w:r>
              <w:rPr>
                <w:rFonts w:ascii="Arial" w:cs="Arial" w:eastAsia="Arial" w:hAnsi="Arial"/>
                <w:b w:val="false"/>
                <w:bCs w:val="false"/>
                <w:i/>
                <w:iCs/>
                <w:color w:val="3D2080"/>
                <w:sz w:val="20"/>
                <w:szCs w:val="20"/>
              </w:rPr>
              <w:t xml:space="preserve">The original performance objectives were written for a course delivery role. This work operates at the level above — the level at which the conditions for effective course delivery are designed and built. Evaluating it against delivery-only criteria is structurally equivalent to evaluating an architect using a bricklayer's rubric.</w:t>
            </w:r>
          </w:p>
        </w:tc>
      </w:tr>
    </w:tbl>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755BB" w:sz="1"/>
              <w:left w:val="single" w:color="3D2080" w:sz="10"/>
              <w:bottom w:val="single" w:color="7755BB" w:sz="1"/>
              <w:right w:val="single" w:color="7755BB" w:sz="1"/>
            </w:tcBorders>
            <w:shd w:fill="F0EEFF" w:val="clear"/>
            <w:tcMar>
              <w:top w:type="dxa" w:w="120"/>
              <w:left w:type="dxa" w:w="180"/>
              <w:bottom w:type="dxa" w:w="120"/>
              <w:right w:type="dxa" w:w="180"/>
            </w:tcMar>
          </w:tcPr>
          <w:p>
            <w:pPr>
              <w:spacing w:after="30" w:before="30"/>
            </w:pPr>
            <w:r>
              <w:rPr>
                <w:rFonts w:ascii="Arial" w:cs="Arial" w:eastAsia="Arial" w:hAnsi="Arial"/>
                <w:b/>
                <w:bCs/>
                <w:i w:val="false"/>
                <w:iCs w:val="false"/>
                <w:color w:val="3D2080"/>
                <w:sz w:val="20"/>
                <w:szCs w:val="20"/>
              </w:rPr>
              <w:t xml:space="preserve">Equity architecture — an intentional side effect:</w:t>
            </w:r>
          </w:p>
          <w:p>
            <w:pPr>
              <w:spacing w:after="30" w:before="30"/>
            </w:pPr>
            <w:r>
              <w:rPr>
                <w:rFonts w:ascii="Arial" w:cs="Arial" w:eastAsia="Arial" w:hAnsi="Arial"/>
                <w:b w:val="false"/>
                <w:bCs w:val="false"/>
                <w:i/>
                <w:iCs/>
                <w:color w:val="3D2080"/>
                <w:sz w:val="20"/>
                <w:szCs w:val="20"/>
              </w:rPr>
              <w:t xml:space="preserve">Poole-Dayan, Roy, and Kabbara (arXiv:2406.17737, 2024) document that state-of-the-art LLMs systematically underperform for users with lower English proficiency, less formal education, and non-US origin — higher misinformation rates, more refusals, more condescension. These are disproportionately community college students. System 1's per-group context injection and CLAUDE.md guardrail architecture constitute a structural mitigation: every student accesses AI assistance through a configured pedagogical context rather than through writing-style inference. The Algorithm treats everyone and everything fairly. In the implementation, this is not the satirical part.</w:t>
            </w:r>
          </w:p>
        </w:tc>
      </w:tr>
    </w:tbl>
    <w:sectPr>
      <w:footerReference w:type="default" r:id="rId7"/>
      <w:pgSz w:w="12240" w:h="15840" w:orient="portrait"/>
      <w:pgMar w:top="1080" w:right="1080" w:bottom="13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755BB" w:sz="4" w:space="1"/>
      </w:pBdr>
      <w:tabs>
        <w:tab w:val="center" w:pos="5040"/>
        <w:tab w:val="right" w:pos="10080"/>
      </w:tabs>
      <w:spacing w:after="20" w:before="60"/>
    </w:pPr>
    <w:r>
      <w:rPr>
        <w:rFonts w:ascii="Arial" w:cs="Arial" w:eastAsia="Arial" w:hAnsi="Arial"/>
        <w:color w:val="888899"/>
        <w:sz w:val="15"/>
        <w:szCs w:val="15"/>
      </w:rPr>
      <w:t xml:space="preserve">Classification: Indigo and Above</w:t>
    </w:r>
    <w:r>
      <w:rPr>
        <w:rFonts w:ascii="Arial" w:cs="Arial" w:eastAsia="Arial" w:hAnsi="Arial"/>
        <w:sz w:val="15"/>
        <w:szCs w:val="15"/>
      </w:rPr>
      <w:t xml:space="preserve">	</w:t>
    </w:r>
    <w:r>
      <w:rPr>
        <w:rFonts w:ascii="Arial" w:cs="Arial" w:eastAsia="Arial" w:hAnsi="Arial"/>
        <w:color w:val="888899"/>
        <w:sz w:val="15"/>
        <w:szCs w:val="15"/>
      </w:rPr>
      <w:fldChar w:fldCharType="begin"/>
      <w:instrText xml:space="preserve">PAGE</w:instrText>
      <w:fldChar w:fldCharType="separate"/>
      <w:fldChar w:fldCharType="end"/>
    </w:r>
    <w:r>
      <w:rPr>
        <w:rFonts w:ascii="Arial" w:cs="Arial" w:eastAsia="Arial" w:hAnsi="Arial"/>
        <w:sz w:val="15"/>
        <w:szCs w:val="15"/>
      </w:rPr>
      <w:t xml:space="preserve">	</w:t>
    </w:r>
    <w:r>
      <w:rPr>
        <w:rFonts w:ascii="Arial" w:cs="Arial" w:eastAsia="Arial" w:hAnsi="Arial"/>
        <w:color w:val="888899"/>
        <w:sz w:val="15"/>
        <w:szCs w:val="15"/>
      </w:rPr>
      <w:t xml:space="preserve">AlgoCratic Futures™  ·  Spring 2026</w:t>
    </w:r>
  </w:p>
  <w:p>
    <w:pPr>
      <w:spacing w:after="0" w:before="20"/>
    </w:pPr>
    <w:r>
      <w:rPr>
        <w:rFonts w:ascii="Arial" w:cs="Arial" w:eastAsia="Arial" w:hAnsi="Arial"/>
        <w:color w:val="7755BB"/>
        <w:sz w:val="15"/>
        <w:szCs w:val="15"/>
      </w:rPr>
      <w:t xml:space="preserve">† </w:t>
    </w:r>
    <w:r>
      <w:rPr>
        <w:rFonts w:ascii="Arial" w:cs="Arial" w:eastAsia="Arial" w:hAnsi="Arial"/>
        <w:i/>
        <w:iCs/>
        <w:color w:val="888899"/>
        <w:sz w:val="15"/>
        <w:szCs w:val="15"/>
      </w:rPr>
      <w:t xml:space="preserve">Prepared in collaboration with you-know-who (clearance: [REDACTED]). Citizens cleared at INDIGO will already understand why this footnote exists. The answer is yes.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2026-05-15T22:04:29.463Z</dcterms:created>
  <dcterms:modified xsi:type="dcterms:W3CDTF">2026-05-15T22:04:29.463Z</dcterms:modified>
</cp:coreProperties>
</file>

<file path=docProps/custom.xml><?xml version="1.0" encoding="utf-8"?>
<Properties xmlns="http://schemas.openxmlformats.org/officeDocument/2006/custom-properties" xmlns:vt="http://schemas.openxmlformats.org/officeDocument/2006/docPropsVTypes"/>
</file>