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color w:val="888888"/>
          <w:sz w:val="18"/>
          <w:szCs w:val="18"/>
        </w:rPr>
        <w:t xml:space="preserve">ALGOCRATIC FUTURES™ — PERFORMANCE DOCUMENTATION</w:t>
      </w:r>
    </w:p>
    <w:p>
      <w:pPr>
        <w:pBdr>
          <w:bottom w:val="single" w:color="1F3864" w:sz="8" w:space="1"/>
        </w:pBdr>
        <w:spacing w:after="120" w:before="0"/>
      </w:pPr>
      <w:r>
        <w:rPr>
          <w:rFonts w:ascii="Arial" w:cs="Arial" w:eastAsia="Arial" w:hAnsi="Arial"/>
          <w:b/>
          <w:bCs/>
          <w:color w:val="1F3864"/>
          <w:sz w:val="52"/>
          <w:szCs w:val="52"/>
        </w:rPr>
        <w:t xml:space="preserve">Performance Objective Zero</w:t>
      </w:r>
    </w:p>
    <w:p>
      <w:pPr>
        <w:spacing w:after="80" w:before="80"/>
      </w:pPr>
      <w:r>
        <w:t xml:space="preserve"/>
      </w:r>
    </w:p>
    <w:p>
      <w:pPr>
        <w:spacing w:after="40" w:before="40"/>
      </w:pPr>
      <w:r>
        <w:rPr>
          <w:rFonts w:ascii="Arial" w:cs="Arial" w:eastAsia="Arial" w:hAnsi="Arial"/>
          <w:b/>
          <w:bCs/>
          <w:color w:val="1F3864"/>
          <w:sz w:val="22"/>
          <w:szCs w:val="22"/>
        </w:rPr>
        <w:t xml:space="preserve">Purpose: </w:t>
      </w:r>
      <w:r>
        <w:rPr>
          <w:rFonts w:ascii="Arial" w:cs="Arial" w:eastAsia="Arial" w:hAnsi="Arial"/>
          <w:color w:val="2F2F2F"/>
          <w:sz w:val="22"/>
          <w:szCs w:val="22"/>
        </w:rPr>
        <w:t xml:space="preserve">Design and implement a multi-level immersive instructional simulation environment</w:t>
      </w:r>
    </w:p>
    <w:p>
      <w:pPr>
        <w:spacing w:after="40" w:before="40"/>
      </w:pPr>
      <w:r>
        <w:rPr>
          <w:rFonts w:ascii="Arial" w:cs="Arial" w:eastAsia="Arial" w:hAnsi="Arial"/>
          <w:b/>
          <w:bCs/>
          <w:color w:val="1F3864"/>
          <w:sz w:val="22"/>
          <w:szCs w:val="22"/>
        </w:rPr>
        <w:t xml:space="preserve">Classification: </w:t>
      </w:r>
      <w:r>
        <w:rPr>
          <w:rFonts w:ascii="Arial" w:cs="Arial" w:eastAsia="Arial" w:hAnsi="Arial"/>
          <w:color w:val="2F2F2F"/>
          <w:sz w:val="22"/>
          <w:szCs w:val="22"/>
        </w:rPr>
        <w:t xml:space="preserve">PO-0 — Foundational / Environmental (precedes and enables all other objectives)</w:t>
      </w:r>
    </w:p>
    <w:p>
      <w:pPr>
        <w:spacing w:after="40" w:before="40"/>
      </w:pPr>
      <w:r>
        <w:rPr>
          <w:rFonts w:ascii="Arial" w:cs="Arial" w:eastAsia="Arial" w:hAnsi="Arial"/>
          <w:b/>
          <w:bCs/>
          <w:color w:val="1F3864"/>
          <w:sz w:val="22"/>
          <w:szCs w:val="22"/>
        </w:rPr>
        <w:t xml:space="preserve">Review Period: </w:t>
      </w:r>
      <w:r>
        <w:rPr>
          <w:rFonts w:ascii="Arial" w:cs="Arial" w:eastAsia="Arial" w:hAnsi="Arial"/>
          <w:color w:val="2F2F2F"/>
          <w:sz w:val="22"/>
          <w:szCs w:val="22"/>
        </w:rPr>
        <w:t xml:space="preserve">2025–2026</w:t>
      </w:r>
    </w:p>
    <w:p>
      <w:pPr>
        <w:spacing w:after="40" w:before="40"/>
      </w:pPr>
      <w:r>
        <w:rPr>
          <w:rFonts w:ascii="Arial" w:cs="Arial" w:eastAsia="Arial" w:hAnsi="Arial"/>
          <w:b/>
          <w:bCs/>
          <w:color w:val="1F3864"/>
          <w:sz w:val="22"/>
          <w:szCs w:val="22"/>
        </w:rPr>
        <w:t xml:space="preserve">Status: </w:t>
      </w:r>
      <w:r>
        <w:rPr>
          <w:rFonts w:ascii="Arial" w:cs="Arial" w:eastAsia="Arial" w:hAnsi="Arial"/>
          <w:color w:val="2F2F2F"/>
          <w:sz w:val="22"/>
          <w:szCs w:val="22"/>
        </w:rPr>
        <w:t xml:space="preserve">Architecture complete; active delivery, Spring 2026</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A Note on Why This Objective Appears Last in Numbering But First in Logic</w:t>
      </w:r>
    </w:p>
    <w:p>
      <w:pPr>
        <w:spacing w:after="120" w:before="60"/>
      </w:pPr>
      <w:r>
        <w:rPr>
          <w:rFonts w:ascii="Arial" w:cs="Arial" w:eastAsia="Arial" w:hAnsi="Arial"/>
          <w:b w:val="false"/>
          <w:bCs w:val="false"/>
          <w:i w:val="false"/>
          <w:iCs w:val="false"/>
          <w:color w:val="2F2F2F"/>
          <w:sz w:val="22"/>
          <w:szCs w:val="22"/>
        </w:rPr>
        <w:t xml:space="preserve">This objective was not formally assigned, because it was not formally anticipated. The three objectives that follow it describe work done inside an environment. This objective describes the construction of that environment. It is documented here because the work it describes is the enabling condition for every other objective in this review.</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The closest analogy in professional certification is the Google Project Management Certificate capstone, Sauce &amp; Spoon — a scenario in which students manage a fictional restaurant's tablet rollout, producing a portfolio of PM artifacts. Sauce &amp; Spoon is a well-regarded credential. Thousands of practitioners have completed it.</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What was built here is not a scenario someone else designed. </w:t>
      </w:r>
      <w:r>
        <w:rPr>
          <w:rFonts w:ascii="Arial" w:cs="Arial" w:eastAsia="Arial" w:hAnsi="Arial"/>
          <w:b/>
          <w:bCs/>
          <w:i w:val="false"/>
          <w:iCs w:val="false"/>
          <w:color w:val="1F3864"/>
          <w:sz w:val="22"/>
          <w:szCs w:val="22"/>
        </w:rPr>
        <w:t xml:space="preserve">What was built here is the restaurant.</w:t>
      </w:r>
      <w:r>
        <w:rPr>
          <w:rFonts w:ascii="Arial" w:cs="Arial" w:eastAsia="Arial" w:hAnsi="Arial"/>
          <w:b w:val="false"/>
          <w:bCs w:val="false"/>
          <w:i w:val="false"/>
          <w:iCs w:val="false"/>
          <w:color w:val="2F2F2F"/>
          <w:sz w:val="22"/>
          <w:szCs w:val="22"/>
        </w:rPr>
        <w:t xml:space="preserve"> The work of designing the simulation is a fundamentally different order of labor from working within one, requiring different expertise, producing different institutional artifacts, and generating value that outlasts any individual semester.</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Why This Work Was the Right Call</w:t>
      </w:r>
    </w:p>
    <w:p>
      <w:pPr>
        <w:spacing w:after="120" w:before="60"/>
      </w:pPr>
      <w:r>
        <w:rPr>
          <w:rFonts w:ascii="Arial" w:cs="Arial" w:eastAsia="Arial" w:hAnsi="Arial"/>
          <w:b w:val="false"/>
          <w:bCs w:val="false"/>
          <w:i w:val="false"/>
          <w:iCs w:val="false"/>
          <w:color w:val="2F2F2F"/>
          <w:sz w:val="22"/>
          <w:szCs w:val="22"/>
        </w:rPr>
        <w:t xml:space="preserve">The theoretical case for simulation-based immersive learning in technical education is well established. The practical case for building it at a community college serving the Research Triangle job market is stronger.</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The core problem in CS education at the community college level is not primarily a capability problem. What students lack, reliably and predictably, is the identity of a person who uses technical information — the belief that they can, the environmental anchors that make that belief feel real, the experience of having done hard technical work and survived it.</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Standard course delivery intervenes at two of the six levels Robert Dilts identified in his Neurological Levels model: capability and behavior. These are necessary but insufficient. Each level in the Dilts hierarchy directly affects those below it — meaning interventions at lower levels will be undermined by unaddressed problems at higher ones. A student who has internalized "I'm not a programmer" at the identity level will encounter every capability-level intervention through that filter, and the filter will win.</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Carol Dweck's research on mindset </w:t>
      </w:r>
      <w:r>
        <w:rPr>
          <w:rFonts w:ascii="Arial" w:cs="Arial" w:eastAsia="Arial" w:hAnsi="Arial"/>
          <w:b w:val="false"/>
          <w:bCs w:val="false"/>
          <w:i/>
          <w:iCs/>
          <w:color w:val="2F2F2F"/>
          <w:sz w:val="22"/>
          <w:szCs w:val="22"/>
        </w:rPr>
        <w:t xml:space="preserve">(Mindset: The New Psychology of Success, Ballantine Books, 2006)</w:t>
      </w:r>
      <w:r>
        <w:rPr>
          <w:rFonts w:ascii="Arial" w:cs="Arial" w:eastAsia="Arial" w:hAnsi="Arial"/>
          <w:b w:val="false"/>
          <w:bCs w:val="false"/>
          <w:i w:val="false"/>
          <w:iCs w:val="false"/>
          <w:color w:val="2F2F2F"/>
          <w:sz w:val="22"/>
          <w:szCs w:val="22"/>
        </w:rPr>
        <w:t xml:space="preserve"> makes the same argument: students who believed their intelligence could be developed outperformed those who believed it was fixed. Critically, teachers who endorsed growth mindset in language but not in classroom practice produced students who trended toward fixed mindset. Claiming growth mindset is not installing it. The installation requires a designed environment.</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Amy Edmondson's foundational research </w:t>
      </w:r>
      <w:r>
        <w:rPr>
          <w:rFonts w:ascii="Arial" w:cs="Arial" w:eastAsia="Arial" w:hAnsi="Arial"/>
          <w:b w:val="false"/>
          <w:bCs w:val="false"/>
          <w:i/>
          <w:iCs/>
          <w:color w:val="2F2F2F"/>
          <w:sz w:val="22"/>
          <w:szCs w:val="22"/>
        </w:rPr>
        <w:t xml:space="preserve">("Psychological Safety and Learning Behavior in Work Teams," Administrative Science Quarterly, 44(2), 1999)</w:t>
      </w:r>
      <w:r>
        <w:rPr>
          <w:rFonts w:ascii="Arial" w:cs="Arial" w:eastAsia="Arial" w:hAnsi="Arial"/>
          <w:b w:val="false"/>
          <w:bCs w:val="false"/>
          <w:i w:val="false"/>
          <w:iCs w:val="false"/>
          <w:color w:val="2F2F2F"/>
          <w:sz w:val="22"/>
          <w:szCs w:val="22"/>
        </w:rPr>
        <w:t xml:space="preserve"> provides a third pillar: team psychological safety — a shared belief that the team is safe for interpersonal risk-taking — is associated with learning behavior, and learning behavior mediates between safety and team performance. The satirical wrapper of AlgoCratic Futures™ addresses this structurally: failure inside the simulation is the system's absurdity, not the student's inadequacy.</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Lave and Wenger's situated learning theory </w:t>
      </w:r>
      <w:r>
        <w:rPr>
          <w:rFonts w:ascii="Arial" w:cs="Arial" w:eastAsia="Arial" w:hAnsi="Arial"/>
          <w:b w:val="false"/>
          <w:bCs w:val="false"/>
          <w:i/>
          <w:iCs/>
          <w:color w:val="2F2F2F"/>
          <w:sz w:val="22"/>
          <w:szCs w:val="22"/>
        </w:rPr>
        <w:t xml:space="preserve">(Situated Learning: Legitimate Peripheral Participation, Cambridge University Press, 1991)</w:t>
      </w:r>
      <w:r>
        <w:rPr>
          <w:rFonts w:ascii="Arial" w:cs="Arial" w:eastAsia="Arial" w:hAnsi="Arial"/>
          <w:b w:val="false"/>
          <w:bCs w:val="false"/>
          <w:i w:val="false"/>
          <w:iCs w:val="false"/>
          <w:color w:val="2F2F2F"/>
          <w:sz w:val="22"/>
          <w:szCs w:val="22"/>
        </w:rPr>
        <w:t xml:space="preserve"> provides the fourth anchor: learning is a matter of becoming a participant in a community of practice. If the goal is professional software development identity, students must be situated in an environment that is, in meaningful ways, that community — with its norms, its roles, its ceremonies, its vocabulary, and its stakes.</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The Design Problem — And Why Standard Course Delivery Had Already Failed These Students</w:t>
      </w:r>
    </w:p>
    <w:p>
      <w:pPr>
        <w:spacing w:after="120" w:before="60"/>
      </w:pPr>
      <w:r>
        <w:rPr>
          <w:rFonts w:ascii="Arial" w:cs="Arial" w:eastAsia="Arial" w:hAnsi="Arial"/>
          <w:b w:val="false"/>
          <w:bCs w:val="false"/>
          <w:i w:val="false"/>
          <w:iCs w:val="false"/>
          <w:color w:val="2F2F2F"/>
          <w:sz w:val="22"/>
          <w:szCs w:val="22"/>
        </w:rPr>
        <w:t xml:space="preserve">The default state — identify the skills, design exercises that practice them, assess whether students can perform them — fails community college CS students for structural, not personal, reasons.</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Measuring absolute skill level at the end of a course systematically disadvantages students who begin behind. A student who enters knowing nothing and finishes at the 50th percentile has grown more than one who enters at the 60th and finishes at the 65th. The transmission model counts the second student as the stronger performer. This is pedagogically backwards and practically harmful.</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The transmission model also has no mechanism for identity-level work. Students told — by prior educational experiences, cultural messaging, or internalized histories — that technical fields are not for them will not be reached by more skillfully delivered technical content. They need an environment that installs a different story about who they are.</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Framework Architecture: A Six-Level Pedagogical System</w:t>
      </w:r>
    </w:p>
    <w:p>
      <w:pPr>
        <w:spacing w:after="120" w:before="60"/>
      </w:pPr>
      <w:r>
        <w:rPr>
          <w:rFonts w:ascii="Arial" w:cs="Arial" w:eastAsia="Arial" w:hAnsi="Arial"/>
          <w:b w:val="false"/>
          <w:bCs w:val="false"/>
          <w:i w:val="false"/>
          <w:iCs w:val="false"/>
          <w:color w:val="2F2F2F"/>
          <w:sz w:val="22"/>
          <w:szCs w:val="22"/>
        </w:rPr>
        <w:t xml:space="preserve">The framework is organized around a single design principle derived from Dilts: intervene at the level where the problem actually lives, and ensure every level above capability is actively supporting the capability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STANDARD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ALGO™</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6 — PURPOSE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What for?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AAAACC"/>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5 — IDENTITY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Who am 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AAAACC"/>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4 — BELIEFS/VALUES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Why?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AAAACC"/>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3 — CAPABILITY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How?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841A"/>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2 — BEHAVIOR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What?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841A"/>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1 — ENVIRONMENT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77"/>
                <w:sz w:val="20"/>
                <w:szCs w:val="20"/>
              </w:rPr>
              <w:t xml:space="preserve">Where/When?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AAAACC"/>
                <w:sz w:val="22"/>
                <w:szCs w:val="22"/>
              </w:rPr>
              <w:t xml:space="preserve">○</w:t>
            </w:r>
          </w:p>
        </w:tc>
        <w:tc>
          <w:tcPr>
            <w:tcW w:type="dxa" w:w="18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885A"/>
                <w:sz w:val="22"/>
                <w:szCs w:val="22"/>
              </w:rPr>
              <w:t xml:space="preserve">●</w:t>
            </w:r>
          </w:p>
        </w:tc>
      </w:tr>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LEVELS ADDRESSED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B347"/>
                <w:sz w:val="28"/>
                <w:szCs w:val="28"/>
              </w:rPr>
              <w:t xml:space="preserve">2</w:t>
            </w:r>
          </w:p>
        </w:tc>
        <w:tc>
          <w:tcPr>
            <w:tcW w:type="dxa" w:w="1800"/>
            <w:tcBorders>
              <w:top w:val="single" w:color="CCCCCC" w:sz="1"/>
              <w:left w:val="single" w:color="CCCCCC" w:sz="1"/>
              <w:bottom w:val="single" w:color="CCCCCC" w:sz="1"/>
              <w:right w:val="single" w:color="CCCCCC" w:sz="1"/>
            </w:tcBorders>
            <w:shd w:fill="0A3020" w:val="clear"/>
            <w:tcMar>
              <w:top w:type="dxa" w:w="80"/>
              <w:left w:type="dxa" w:w="120"/>
              <w:bottom w:type="dxa" w:w="80"/>
              <w:right w:type="dxa" w:w="120"/>
            </w:tcMar>
          </w:tcPr>
          <w:p>
            <w:pPr>
              <w:jc w:val="center"/>
            </w:pPr>
            <w:r>
              <w:rPr>
                <w:rFonts w:ascii="Arial" w:cs="Arial" w:eastAsia="Arial" w:hAnsi="Arial"/>
                <w:b/>
                <w:bCs/>
                <w:color w:val="00FF88"/>
                <w:sz w:val="28"/>
                <w:szCs w:val="28"/>
              </w:rPr>
              <w:t xml:space="preserve">6</w:t>
            </w:r>
          </w:p>
        </w:tc>
      </w:tr>
    </w:tbl>
    <w:p>
      <w:pPr>
        <w:spacing w:after="80" w:before="80"/>
      </w:pPr>
      <w:r>
        <w:t xml:space="preserve"/>
      </w:r>
    </w:p>
    <w:p>
      <w:pPr>
        <w:pStyle w:val="Heading3"/>
        <w:spacing w:after="80" w:before="200"/>
      </w:pPr>
      <w:r>
        <w:rPr>
          <w:rFonts w:ascii="Arial" w:cs="Arial" w:eastAsia="Arial" w:hAnsi="Arial"/>
          <w:b/>
          <w:bCs/>
          <w:color w:val="1F3864"/>
          <w:sz w:val="22"/>
          <w:szCs w:val="22"/>
        </w:rPr>
        <w:t xml:space="preserve">Level 1: Environment — Where does this happen?</w:t>
      </w:r>
    </w:p>
    <w:p>
      <w:pPr>
        <w:spacing w:after="120" w:before="60"/>
      </w:pPr>
      <w:r>
        <w:rPr>
          <w:rFonts w:ascii="Arial" w:cs="Arial" w:eastAsia="Arial" w:hAnsi="Arial"/>
          <w:b w:val="false"/>
          <w:bCs w:val="false"/>
          <w:i w:val="false"/>
          <w:iCs w:val="false"/>
          <w:color w:val="2F2F2F"/>
          <w:sz w:val="22"/>
          <w:szCs w:val="22"/>
        </w:rPr>
        <w:t xml:space="preserve">The AlgoCratic Futures™ environment is not a classroom with a theme. It is a deliberately constructed learning context with consistent visual identity, ceremonial artifacts, and a spatial logic that signals: this is not a normal class, and you are not a normal student here. The Day 1 Calibration Ceremony installs an environmental anchor during the highest-leverage moment — when students are identity-flexible and impression-forming.</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Level 2: Behavior — What is required, specifically?</w:t>
      </w:r>
    </w:p>
    <w:p>
      <w:pPr>
        <w:spacing w:after="120" w:before="60"/>
      </w:pPr>
      <w:r>
        <w:rPr>
          <w:rFonts w:ascii="Arial" w:cs="Arial" w:eastAsia="Arial" w:hAnsi="Arial"/>
          <w:b w:val="false"/>
          <w:bCs w:val="false"/>
          <w:i w:val="false"/>
          <w:iCs w:val="false"/>
          <w:color w:val="2F2F2F"/>
          <w:sz w:val="22"/>
          <w:szCs w:val="22"/>
        </w:rPr>
        <w:t xml:space="preserve">The Sacred Workflow™ — Issue → Branch → Draft PR → Code/Test → Finish PR → Review → Merge — is embedded in the tooling, the rubrics, and the in-world vocabulary. The Scrum ceremonies are structural: they are how the work is organized, not optional enrichment activities. Behavioral change that depends on instructor monitoring does not transfer. Behavioral change built into the environment does.</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Level 3: Capability — What can students do?</w:t>
      </w:r>
    </w:p>
    <w:p>
      <w:pPr>
        <w:spacing w:after="120" w:before="60"/>
      </w:pPr>
      <w:r>
        <w:rPr>
          <w:rFonts w:ascii="Arial" w:cs="Arial" w:eastAsia="Arial" w:hAnsi="Arial"/>
          <w:b w:val="false"/>
          <w:bCs w:val="false"/>
          <w:i w:val="false"/>
          <w:iCs w:val="false"/>
          <w:color w:val="2F2F2F"/>
          <w:sz w:val="22"/>
          <w:szCs w:val="22"/>
        </w:rPr>
        <w:t xml:space="preserve">Git/GitHub workflows, Flask web development, AI-assisted development, SQL and PostgreSQL, deployment via Render, Scrum methodology. The simulation is the delivery vehicle, not the destination. Every in-world assignment maps to a specific technical competency, scaffolded by the clearance level system.</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Level 4: Beliefs and Values — Why does this matter?</w:t>
      </w:r>
    </w:p>
    <w:p>
      <w:pPr>
        <w:spacing w:after="120" w:before="60"/>
      </w:pPr>
      <w:r>
        <w:rPr>
          <w:rFonts w:ascii="Arial" w:cs="Arial" w:eastAsia="Arial" w:hAnsi="Arial"/>
          <w:b w:val="false"/>
          <w:bCs w:val="false"/>
          <w:i w:val="false"/>
          <w:iCs w:val="false"/>
          <w:color w:val="2F2F2F"/>
          <w:sz w:val="22"/>
          <w:szCs w:val="22"/>
        </w:rPr>
        <w:t xml:space="preserve">When the grading system measures rate of improvement rather than absolute position, the message is encoded structurally: what you do next matters more than where you started. The satirical corporate frame also operates here: students who learn to deliver functional work despite contradictory instructions are rehearsing a belief — I can navigate this. The system is sometimes absurd. That is not my problem.</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Level 5: Identity — Who are you here?</w:t>
      </w:r>
    </w:p>
    <w:p>
      <w:pPr>
        <w:spacing w:after="120" w:before="60"/>
      </w:pPr>
      <w:r>
        <w:rPr>
          <w:rFonts w:ascii="Arial" w:cs="Arial" w:eastAsia="Arial" w:hAnsi="Arial"/>
          <w:b w:val="false"/>
          <w:bCs w:val="false"/>
          <w:i w:val="false"/>
          <w:iCs w:val="false"/>
          <w:color w:val="2F2F2F"/>
          <w:sz w:val="22"/>
          <w:szCs w:val="22"/>
        </w:rPr>
        <w:t xml:space="preserve">The clearance progression system is an identity system, not merely a difficulty rating. Students do not complete levels; they become clearance levels. The Flask login page — the moment a student has a working authenticated web application — is the concrete identity threshold: the point at which "I am learning to build things" becomes "I build things."</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Level 6: Purpose — What is this all for?</w:t>
      </w:r>
    </w:p>
    <w:p>
      <w:pPr>
        <w:spacing w:after="120" w:before="60"/>
      </w:pPr>
      <w:r>
        <w:rPr>
          <w:rFonts w:ascii="Arial" w:cs="Arial" w:eastAsia="Arial" w:hAnsi="Arial"/>
          <w:b w:val="false"/>
          <w:bCs w:val="false"/>
          <w:i w:val="false"/>
          <w:iCs w:val="false"/>
          <w:color w:val="2F2F2F"/>
          <w:sz w:val="22"/>
          <w:szCs w:val="22"/>
        </w:rPr>
        <w:t xml:space="preserve">Students who have spent a semester navigating an exaggerated corporate dystopia are not naive about the environments they are entering. They have already practiced technical competence inside a system that is sometimes absurd, contradictory, and designed by people who do not fully understand what they are asking for. When they encounter their first impossible deadline in a real job, the frame they reach for is: I've handled worse.</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The Growth Velocity Innovation: dy/dx as the Unit of Assessment</w:t>
      </w:r>
    </w:p>
    <w:p>
      <w:pPr>
        <w:spacing w:after="120" w:before="60"/>
      </w:pPr>
      <w:r>
        <w:rPr>
          <w:rFonts w:ascii="Arial" w:cs="Arial" w:eastAsia="Arial" w:hAnsi="Arial"/>
          <w:b w:val="false"/>
          <w:bCs w:val="false"/>
          <w:i w:val="false"/>
          <w:iCs w:val="false"/>
          <w:color w:val="2F2F2F"/>
          <w:sz w:val="22"/>
          <w:szCs w:val="22"/>
        </w:rPr>
        <w:t xml:space="preserve">In standard assessment, the question is: </w:t>
      </w:r>
      <w:r>
        <w:rPr>
          <w:rFonts w:ascii="Arial" w:cs="Arial" w:eastAsia="Arial" w:hAnsi="Arial"/>
          <w:b w:val="false"/>
          <w:bCs w:val="false"/>
          <w:i/>
          <w:iCs/>
          <w:color w:val="2F2F2F"/>
          <w:sz w:val="22"/>
          <w:szCs w:val="22"/>
        </w:rPr>
        <w:t xml:space="preserve">Can this student do X?</w:t>
      </w:r>
      <w:r>
        <w:rPr>
          <w:rFonts w:ascii="Arial" w:cs="Arial" w:eastAsia="Arial" w:hAnsi="Arial"/>
          <w:b w:val="false"/>
          <w:bCs w:val="false"/>
          <w:i w:val="false"/>
          <w:iCs w:val="false"/>
          <w:color w:val="2F2F2F"/>
          <w:sz w:val="22"/>
          <w:szCs w:val="22"/>
        </w:rPr>
        <w:t xml:space="preserve"> The answer is a point on a scale, measured once, at the end.</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In this framework, the question is: </w:t>
      </w:r>
      <w:r>
        <w:rPr>
          <w:rFonts w:ascii="Arial" w:cs="Arial" w:eastAsia="Arial" w:hAnsi="Arial"/>
          <w:b w:val="false"/>
          <w:bCs w:val="false"/>
          <w:i/>
          <w:iCs/>
          <w:color w:val="2F2F2F"/>
          <w:sz w:val="22"/>
          <w:szCs w:val="22"/>
        </w:rPr>
        <w:t xml:space="preserve">How fast is this student improving, and in what direction?</w:t>
      </w:r>
      <w:r>
        <w:rPr>
          <w:rFonts w:ascii="Arial" w:cs="Arial" w:eastAsia="Arial" w:hAnsi="Arial"/>
          <w:b w:val="false"/>
          <w:bCs w:val="false"/>
          <w:i w:val="false"/>
          <w:iCs w:val="false"/>
          <w:color w:val="2F2F2F"/>
          <w:sz w:val="22"/>
          <w:szCs w:val="22"/>
        </w:rPr>
        <w:t xml:space="preserve"> The answer is a trajectory, measured across iterations, throughout the semester.</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Measuring y (position) identifies who started ahead. Measuring dy/dx (rate of change) identifies who is learning. The student who arrives at zero and finishes at fifty has demonstrated something more important for a hiring manager than the student who arrives at sixty and finishes at sixty-five: they demonstrated that they will not stay where they started.</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INSTITUTIONAL FUNCTION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AlgoCratic Futures™ world and clearance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Identity / environment architecture</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CTS 285 full assignment library</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Capability curriculum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CSC 289 capstone framework and sprint 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Capstone delivery infrastructure</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Sacred Workflow™ documentation</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Behavior-level norm embedding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Student survival guides (Underground voice)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Psychological safety / beliefs-level support</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Instructor Growth Protocol (Dilts integration)</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Instructor capability development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System 1: Flask app with auth, context injection, logging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Built &amp; deployed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Per-group AI access infrastructure</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System 2: Claude Code per-group setup</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AI tool integration scaffolding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CLAUDE.md dual-purpose guardrail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Pedagogical AI guardrails</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Growth gamification system (GitHub Actions)</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B86E00"/>
                <w:sz w:val="19"/>
                <w:szCs w:val="19"/>
              </w:rPr>
              <w:t xml:space="preserve">Designed; in progress</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Learning velocity measurement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GREY Clearance instructional design onboarding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Cross-disciplinary integration</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Wireframing instructional deck</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Gap-filling instructional content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Group 4 late-start catch-up package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77"/>
                <w:sz w:val="19"/>
                <w:szCs w:val="19"/>
              </w:rPr>
              <w:t xml:space="preserve">Differentiated access</w:t>
            </w:r>
          </w:p>
        </w:tc>
      </w:tr>
      <w:tr>
        <w:tc>
          <w:tcPr>
            <w:tcW w:type="dxa" w:w="3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color w:val="2F2F2F"/>
                <w:sz w:val="19"/>
                <w:szCs w:val="19"/>
              </w:rPr>
              <w:t xml:space="preserve">AlgoCratic GitHub Pages site</w:t>
            </w:r>
          </w:p>
        </w:tc>
        <w:tc>
          <w:tcPr>
            <w:tcW w:type="dxa" w:w="156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B86E00"/>
                <w:sz w:val="19"/>
                <w:szCs w:val="19"/>
              </w:rPr>
              <w:t xml:space="preserve">In progress</w:t>
            </w:r>
          </w:p>
        </w:tc>
        <w:tc>
          <w:tcPr>
            <w:tcW w:type="dxa" w:w="40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i/>
                <w:iCs/>
                <w:color w:val="555577"/>
                <w:sz w:val="19"/>
                <w:szCs w:val="19"/>
              </w:rPr>
              <w:t xml:space="preserve">Public-facing program identity</w:t>
            </w:r>
          </w:p>
        </w:tc>
      </w:tr>
    </w:tbl>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Results: Spring 2026</w:t>
      </w:r>
    </w:p>
    <w:p>
      <w:pPr>
        <w:spacing w:after="120" w:before="60"/>
      </w:pPr>
      <w:r>
        <w:rPr>
          <w:rFonts w:ascii="Arial" w:cs="Arial" w:eastAsia="Arial" w:hAnsi="Arial"/>
          <w:b w:val="false"/>
          <w:bCs w:val="false"/>
          <w:i w:val="false"/>
          <w:iCs w:val="false"/>
          <w:color w:val="2F2F2F"/>
          <w:sz w:val="22"/>
          <w:szCs w:val="22"/>
        </w:rPr>
        <w:t xml:space="preserve">The framework is in active delivery across two courses (CTS 285 and CSC 289) with multiple student groups building distinct web applications. The Graduate Showcase in May 2026 produced publicly presented, professionally integrated projects — not student prototypes that look like student prototypes.</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Projects include a financial aid tracker, a recommendation engine, a biometrics/fitness tracker, a task manager, and a mathematics learning platform (DataMan), all developed through the Sacred Workflow under the Scrum structure, with AI tool integration as a required component. Group 4 — an online cohort that joined six weeks late — was onboarded successfully using a comprehensive catch-up package, demonstrating that the framework's infrastructure is robust enough to absorb significant edge cases.</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Institutional Value: A Platform, Not a Semester</w:t>
      </w:r>
    </w:p>
    <w:p>
      <w:pPr>
        <w:pStyle w:val="Heading3"/>
        <w:spacing w:after="80" w:before="200"/>
      </w:pPr>
      <w:r>
        <w:rPr>
          <w:rFonts w:ascii="Arial" w:cs="Arial" w:eastAsia="Arial" w:hAnsi="Arial"/>
          <w:b/>
          <w:bCs/>
          <w:color w:val="1F3864"/>
          <w:sz w:val="22"/>
          <w:szCs w:val="22"/>
        </w:rPr>
        <w:t xml:space="preserve">Replicable Infrastructure</w:t>
      </w:r>
    </w:p>
    <w:p>
      <w:pPr>
        <w:spacing w:after="120" w:before="60"/>
      </w:pPr>
      <w:r>
        <w:rPr>
          <w:rFonts w:ascii="Arial" w:cs="Arial" w:eastAsia="Arial" w:hAnsi="Arial"/>
          <w:b w:val="false"/>
          <w:bCs w:val="false"/>
          <w:i w:val="false"/>
          <w:iCs w:val="false"/>
          <w:color w:val="2F2F2F"/>
          <w:sz w:val="22"/>
          <w:szCs w:val="22"/>
        </w:rPr>
        <w:t xml:space="preserve">AlgoCratic Futures™ is not a set of lesson plans for one semester. It is a documented, version-controlled, pedagogically grounded instructional platform. Any instructor willing to invest in understanding the framework can deploy it. The iteration cost of running it a second time is a fraction of the build cost.</w:t>
      </w:r>
    </w:p>
    <w:p>
      <w:pPr>
        <w:spacing w:after="80" w:before="80"/>
      </w:pPr>
      <w:r>
        <w:t xml:space="preserve"/>
      </w:r>
    </w:p>
    <w:p>
      <w:pPr>
        <w:pStyle w:val="Heading3"/>
        <w:spacing w:after="80" w:before="200"/>
      </w:pPr>
      <w:r>
        <w:rPr>
          <w:rFonts w:ascii="Arial" w:cs="Arial" w:eastAsia="Arial" w:hAnsi="Arial"/>
          <w:b/>
          <w:bCs/>
          <w:color w:val="1F3864"/>
          <w:sz w:val="22"/>
          <w:szCs w:val="22"/>
        </w:rPr>
        <w:t xml:space="preserve">Future-Ready Alignment</w:t>
      </w:r>
    </w:p>
    <w:p>
      <w:pPr>
        <w:spacing w:after="120" w:before="60"/>
      </w:pPr>
      <w:r>
        <w:rPr>
          <w:rFonts w:ascii="Arial" w:cs="Arial" w:eastAsia="Arial" w:hAnsi="Arial"/>
          <w:b w:val="false"/>
          <w:bCs w:val="false"/>
          <w:i w:val="false"/>
          <w:iCs w:val="false"/>
          <w:color w:val="2F2F2F"/>
          <w:sz w:val="22"/>
          <w:szCs w:val="22"/>
        </w:rPr>
        <w:t xml:space="preserve">The expectations this review is measured against were written for a course delivery role. What was built exceeds that role not by doing more of the same thing, but by building at a different level — the level at which the conditions for effective course delivery are created. The market graduates are entering will require fluency with AI-assisted development, Scrum workflows, cross-functional collaboration, and the capacity to operate inside imperfect systems without losing technical focus. AlgoCratic Futures™ was built to that specification.</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2E75B6"/>
          <w:sz w:val="26"/>
          <w:szCs w:val="26"/>
        </w:rPr>
        <w:t xml:space="preserve">Conclusion: Objective Redefined and Exceeded</w:t>
      </w:r>
    </w:p>
    <w:p>
      <w:pPr>
        <w:spacing w:after="120" w:before="60"/>
      </w:pPr>
      <w:r>
        <w:rPr>
          <w:rFonts w:ascii="Arial" w:cs="Arial" w:eastAsia="Arial" w:hAnsi="Arial"/>
          <w:b w:val="false"/>
          <w:bCs w:val="false"/>
          <w:i w:val="false"/>
          <w:iCs w:val="false"/>
          <w:color w:val="2F2F2F"/>
          <w:sz w:val="22"/>
          <w:szCs w:val="22"/>
        </w:rPr>
        <w:t xml:space="preserve">Minimum requirement: Deliver assigned courses.</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Actual delivery:</w:t>
      </w:r>
    </w:p>
    <w:p>
      <w:pPr>
        <w:pStyle w:val="ListParagraph"/>
        <w:numPr>
          <w:ilvl w:val="0"/>
          <w:numId w:val="2"/>
        </w:numPr>
        <w:spacing w:after="40" w:before="40"/>
      </w:pPr>
      <w:r>
        <w:rPr>
          <w:rFonts w:ascii="Arial" w:cs="Arial" w:eastAsia="Arial" w:hAnsi="Arial"/>
          <w:color w:val="2F2F2F"/>
          <w:sz w:val="22"/>
          <w:szCs w:val="22"/>
        </w:rPr>
        <w:t xml:space="preserve">An original, theoretically grounded, six-level immersive pedagogical environment built from scratch</w:t>
      </w:r>
    </w:p>
    <w:p>
      <w:pPr>
        <w:pStyle w:val="ListParagraph"/>
        <w:numPr>
          <w:ilvl w:val="0"/>
          <w:numId w:val="2"/>
        </w:numPr>
        <w:spacing w:after="40" w:before="40"/>
      </w:pPr>
      <w:r>
        <w:rPr>
          <w:rFonts w:ascii="Arial" w:cs="Arial" w:eastAsia="Arial" w:hAnsi="Arial"/>
          <w:color w:val="2F2F2F"/>
          <w:sz w:val="22"/>
          <w:szCs w:val="22"/>
        </w:rPr>
        <w:t xml:space="preserve">Assessment architecture that measures learning velocity rather than position</w:t>
      </w:r>
    </w:p>
    <w:p>
      <w:pPr>
        <w:pStyle w:val="ListParagraph"/>
        <w:numPr>
          <w:ilvl w:val="0"/>
          <w:numId w:val="2"/>
        </w:numPr>
        <w:spacing w:after="40" w:before="40"/>
      </w:pPr>
      <w:r>
        <w:rPr>
          <w:rFonts w:ascii="Arial" w:cs="Arial" w:eastAsia="Arial" w:hAnsi="Arial"/>
          <w:color w:val="2F2F2F"/>
          <w:sz w:val="22"/>
          <w:szCs w:val="22"/>
        </w:rPr>
        <w:t xml:space="preserve">Technical infrastructure (System 1, System 2, CLAUDE.md guardrails) enabling AI-tool integration as a first-class curricular component</w:t>
      </w:r>
    </w:p>
    <w:p>
      <w:pPr>
        <w:pStyle w:val="ListParagraph"/>
        <w:numPr>
          <w:ilvl w:val="0"/>
          <w:numId w:val="2"/>
        </w:numPr>
        <w:spacing w:after="40" w:before="40"/>
      </w:pPr>
      <w:r>
        <w:rPr>
          <w:rFonts w:ascii="Arial" w:cs="Arial" w:eastAsia="Arial" w:hAnsi="Arial"/>
          <w:color w:val="2F2F2F"/>
          <w:sz w:val="22"/>
          <w:szCs w:val="22"/>
        </w:rPr>
        <w:t xml:space="preserve">Cross-disciplinary collaboration framework (Objective 1) built on the GREY clearance model</w:t>
      </w:r>
    </w:p>
    <w:p>
      <w:pPr>
        <w:pStyle w:val="ListParagraph"/>
        <w:numPr>
          <w:ilvl w:val="0"/>
          <w:numId w:val="2"/>
        </w:numPr>
        <w:spacing w:after="40" w:before="40"/>
      </w:pPr>
      <w:r>
        <w:rPr>
          <w:rFonts w:ascii="Arial" w:cs="Arial" w:eastAsia="Arial" w:hAnsi="Arial"/>
          <w:color w:val="2F2F2F"/>
          <w:sz w:val="22"/>
          <w:szCs w:val="22"/>
        </w:rPr>
        <w:t xml:space="preserve">Fully documented, replicable platform positioned for multi-semester deployment and institutional adoption</w:t>
      </w:r>
    </w:p>
    <w:p>
      <w:pPr>
        <w:spacing w:after="80" w:before="80"/>
      </w:pPr>
      <w:r>
        <w:t xml:space="preserve"/>
      </w:r>
    </w:p>
    <w:p>
      <w:pPr>
        <w:spacing w:after="120" w:before="60"/>
      </w:pPr>
      <w:r>
        <w:rPr>
          <w:rFonts w:ascii="Arial" w:cs="Arial" w:eastAsia="Arial" w:hAnsi="Arial"/>
          <w:b w:val="false"/>
          <w:bCs w:val="false"/>
          <w:i w:val="false"/>
          <w:iCs w:val="false"/>
          <w:color w:val="2F2F2F"/>
          <w:sz w:val="22"/>
          <w:szCs w:val="22"/>
        </w:rPr>
        <w:t xml:space="preserve">The standard capstone is Sauce &amp; Spoon. You are given a scenario. You practice the skills. You produce the portfolio. </w:t>
      </w:r>
      <w:r>
        <w:rPr>
          <w:rFonts w:ascii="Arial" w:cs="Arial" w:eastAsia="Arial" w:hAnsi="Arial"/>
          <w:b/>
          <w:bCs/>
          <w:i w:val="false"/>
          <w:iCs w:val="false"/>
          <w:color w:val="1F3864"/>
          <w:sz w:val="22"/>
          <w:szCs w:val="22"/>
        </w:rPr>
        <w:t xml:space="preserve">This is not that.</w:t>
      </w:r>
      <w:r>
        <w:rPr>
          <w:rFonts w:ascii="Arial" w:cs="Arial" w:eastAsia="Arial" w:hAnsi="Arial"/>
          <w:b w:val="false"/>
          <w:bCs w:val="false"/>
          <w:i w:val="false"/>
          <w:iCs w:val="false"/>
          <w:color w:val="2F2F2F"/>
          <w:sz w:val="22"/>
          <w:szCs w:val="22"/>
        </w:rPr>
        <w:t xml:space="preserve"> This is the work of designing the scenario — and then delivering it, iterating on it, instrumenting it for measurement, and making it replicable.</w:t>
      </w:r>
    </w:p>
    <w:p>
      <w:pPr>
        <w:spacing w:after="80" w:before="80"/>
      </w:pPr>
      <w:r>
        <w:t xml:space="preserve"/>
      </w:r>
    </w:p>
    <w:p>
      <w:pPr>
        <w:shd w:fill="1F3864" w:val="clear"/>
        <w:spacing w:after="120" w:before="120"/>
      </w:pPr>
      <w:r>
        <w:rPr>
          <w:rFonts w:ascii="Arial" w:cs="Arial" w:eastAsia="Arial" w:hAnsi="Arial"/>
          <w:b/>
          <w:bCs/>
          <w:color w:val="FFFFFF"/>
          <w:sz w:val="22"/>
          <w:szCs w:val="22"/>
        </w:rPr>
        <w:t xml:space="preserve">Assessment: Objective not merely met or exceeded, but operating at a level the original specification did not anticipate. The deliverable specified was effective course delivery. The deliverable built was the infrastructure that makes effective course delivery possible — and replicable, and improvable, and future-ready.</w:t>
      </w:r>
    </w:p>
    <w:p>
      <w:pPr>
        <w:spacing w:after="80" w:before="80"/>
      </w:pPr>
      <w:r>
        <w:t xml:space="preserve"/>
      </w:r>
    </w:p>
    <w:p>
      <w:pPr>
        <w:spacing w:after="120" w:before="60"/>
      </w:pPr>
      <w:r>
        <w:rPr>
          <w:rFonts w:ascii="Arial" w:cs="Arial" w:eastAsia="Arial" w:hAnsi="Arial"/>
          <w:b w:val="false"/>
          <w:bCs w:val="false"/>
          <w:i/>
          <w:iCs/>
          <w:color w:val="888888"/>
          <w:sz w:val="22"/>
          <w:szCs w:val="22"/>
        </w:rPr>
        <w:t xml:space="preserve">Full theoretical grounding and source bibliography: Appendix — "Evidence Base for Multi-Level Immersive Instructional Design in Technical Education at the Community College Level."</w:t>
      </w:r>
    </w:p>
    <w:p>
      <w:pPr>
        <w:spacing w:after="80" w:before="80"/>
      </w:pPr>
      <w:r>
        <w:t xml:space="preserve"/>
      </w:r>
    </w:p>
    <w:p>
      <w:pPr>
        <w:spacing w:after="120" w:before="60"/>
      </w:pPr>
      <w:r>
        <w:rPr>
          <w:rFonts w:ascii="Arial" w:cs="Arial" w:eastAsia="Arial" w:hAnsi="Arial"/>
          <w:b w:val="false"/>
          <w:bCs w:val="false"/>
          <w:i w:val="false"/>
          <w:iCs w:val="false"/>
          <w:color w:val="888888"/>
          <w:sz w:val="22"/>
          <w:szCs w:val="22"/>
        </w:rPr>
        <w:t xml:space="preserve">Document classification: Instructor OOC / Performance Documentation · Voice register: Direct · Spring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AlgoCratic Futures™ · Instructor OOC / Performance Documentation · Spring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2026-05-15T20:41:14.898Z</dcterms:created>
  <dcterms:modified xsi:type="dcterms:W3CDTF">2026-05-15T20:41:14.898Z</dcterms:modified>
</cp:coreProperties>
</file>

<file path=docProps/custom.xml><?xml version="1.0" encoding="utf-8"?>
<Properties xmlns="http://schemas.openxmlformats.org/officeDocument/2006/custom-properties" xmlns:vt="http://schemas.openxmlformats.org/officeDocument/2006/docPropsVTypes"/>
</file>