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24" w:name="introduction"/>
    <w:p>
      <w:pPr>
        <w:pStyle w:val="Heading1"/>
      </w:pPr>
      <w:r>
        <w:t xml:space="preserve">Introduction</w:t>
      </w:r>
    </w:p>
    <w:p>
      <w:pPr>
        <w:pStyle w:val="FirstParagraph"/>
      </w:pPr>
      <w:r>
        <w:rPr>
          <w:bCs/>
          <w:b/>
        </w:rPr>
        <w:t xml:space="preserve">Spring 2026 Performance Review · Binder Front Matter</w:t>
      </w:r>
      <w:r>
        <w:t xml:space="preserve"> </w:t>
      </w:r>
      <w:r>
        <w:rPr>
          <w:bCs/>
          <w:b/>
        </w:rPr>
        <w:t xml:space="preserve">Instructor:</w:t>
      </w:r>
      <w:r>
        <w:t xml:space="preserve"> </w:t>
      </w:r>
      <w:r>
        <w:t xml:space="preserve">[REDACTED]</w:t>
      </w:r>
      <w:r>
        <w:t xml:space="preserve"> </w:t>
      </w:r>
      <w:r>
        <w:rPr>
          <w:bCs/>
          <w:b/>
        </w:rPr>
        <w:t xml:space="preserve">Program:</w:t>
      </w:r>
      <w:r>
        <w:t xml:space="preserve"> </w:t>
      </w:r>
      <w:r>
        <w:t xml:space="preserve">CSC 289 (Software Development Capstone) · CTS 285 (Web Application Development) · CPD Tools Group</w:t>
      </w:r>
      <w:r>
        <w:t xml:space="preserve"> </w:t>
      </w:r>
      <w:r>
        <w:rPr>
          <w:bCs/>
          <w:b/>
        </w:rPr>
        <w:t xml:space="preserve">Review Period:</w:t>
      </w:r>
      <w:r>
        <w:t xml:space="preserve"> </w:t>
      </w:r>
      <w:r>
        <w:t xml:space="preserve">Spring 2026</w:t>
      </w:r>
    </w:p>
    <w:p>
      <w:r>
        <w:pict>
          <v:rect style="width:0;height:1.5pt" o:hralign="center" o:hrstd="t" o:hr="t"/>
        </w:pict>
      </w:r>
    </w:p>
    <w:bookmarkStart w:id="20" w:name="what-this-binder-documents"/>
    <w:p>
      <w:pPr>
        <w:pStyle w:val="Heading2"/>
      </w:pPr>
      <w:r>
        <w:t xml:space="preserve">What This Binder Documents</w:t>
      </w:r>
    </w:p>
    <w:p>
      <w:pPr>
        <w:pStyle w:val="FirstParagraph"/>
      </w:pPr>
      <w:r>
        <w:rPr>
          <w:bCs/>
          <w:b/>
        </w:rPr>
        <w:t xml:space="preserve">The original objectives, as assigned (verbatim baseline):</w:t>
      </w:r>
    </w:p>
    <w:p>
      <w:pPr>
        <w:numPr>
          <w:ilvl w:val="0"/>
          <w:numId w:val="1001"/>
        </w:numPr>
        <w:pStyle w:val="Compact"/>
      </w:pPr>
      <w:r>
        <w:rPr>
          <w:bCs/>
          <w:b/>
        </w:rPr>
        <w:t xml:space="preserve">Objective 1:</w:t>
      </w:r>
      <w:r>
        <w:t xml:space="preserve"> </w:t>
      </w:r>
      <w:r>
        <w:t xml:space="preserve">“</w:t>
      </w:r>
      <w:r>
        <w:t xml:space="preserve">Meet three times with cross-department students for assignments.</w:t>
      </w:r>
      <w:r>
        <w:t xml:space="preserve">”</w:t>
      </w:r>
    </w:p>
    <w:p>
      <w:pPr>
        <w:numPr>
          <w:ilvl w:val="0"/>
          <w:numId w:val="1001"/>
        </w:numPr>
        <w:pStyle w:val="Compact"/>
      </w:pPr>
      <w:r>
        <w:rPr>
          <w:bCs/>
          <w:b/>
        </w:rPr>
        <w:t xml:space="preserve">Objective 2:</w:t>
      </w:r>
      <w:r>
        <w:t xml:space="preserve"> </w:t>
      </w:r>
      <w:r>
        <w:t xml:space="preserve">“</w:t>
      </w:r>
      <w:r>
        <w:t xml:space="preserve">Four assignments covering the topic</w:t>
      </w:r>
      <w:r>
        <w:t xml:space="preserve"> </w:t>
      </w:r>
      <w:r>
        <w:t xml:space="preserve">‘</w:t>
      </w:r>
      <w:r>
        <w:t xml:space="preserve">GitHub collaboration and version control with your team</w:t>
      </w:r>
      <w:r>
        <w:t xml:space="preserve">’</w:t>
      </w:r>
      <w:r>
        <w:t xml:space="preserve">. (The assignments were delivered, but were disguised as portions of a game.)</w:t>
      </w:r>
      <w:r>
        <w:t xml:space="preserve">”</w:t>
      </w:r>
    </w:p>
    <w:p>
      <w:pPr>
        <w:numPr>
          <w:ilvl w:val="0"/>
          <w:numId w:val="1001"/>
        </w:numPr>
        <w:pStyle w:val="Compact"/>
      </w:pPr>
      <w:r>
        <w:rPr>
          <w:bCs/>
          <w:b/>
        </w:rPr>
        <w:t xml:space="preserve">Objective 3:</w:t>
      </w:r>
      <w:r>
        <w:t xml:space="preserve"> </w:t>
      </w:r>
      <w:r>
        <w:t xml:space="preserve">“</w:t>
      </w:r>
      <w:r>
        <w:t xml:space="preserve">attend three meetings towards planning Ghost Tool delivery timetable.</w:t>
      </w:r>
      <w:r>
        <w:t xml:space="preserve">”</w:t>
      </w:r>
    </w:p>
    <w:p>
      <w:pPr>
        <w:pStyle w:val="FirstParagraph"/>
      </w:pPr>
      <w:r>
        <w:t xml:space="preserve">This binder documents three completed performance objectives undertaken during the Spring 2026 review period. The three objectives are discrete deliverables: a cross-departmental capstone framework, a four-module source-control curriculum, and a project-management contribution to a live institutional fraud-detection tool. They were specified in advance, completed on schedule, and assessed against criteria the reviewer can verify against the supporting artifacts.</w:t>
      </w:r>
    </w:p>
    <w:p>
      <w:pPr>
        <w:pStyle w:val="BodyText"/>
      </w:pPr>
      <w:r>
        <w:t xml:space="preserve">A final background chapter describes the in-character AlgoCratic Futures instructional environment — the delivery mechanism inside which the Objective 2 assignments were delivered (the assignments were delivered, but were disguised as portions of a game). It is documented last as supporting context for the other three chapters, not as a separate performance objective.</w:t>
      </w:r>
    </w:p>
    <w:p>
      <w:pPr>
        <w:pStyle w:val="BodyText"/>
      </w:pPr>
      <w:r>
        <w:t xml:space="preserve">The binder is organized for two reading paths:</w:t>
      </w:r>
    </w:p>
    <w:p>
      <w:pPr>
        <w:numPr>
          <w:ilvl w:val="0"/>
          <w:numId w:val="1002"/>
        </w:numPr>
        <w:pStyle w:val="Compact"/>
      </w:pPr>
      <w:r>
        <w:rPr>
          <w:bCs/>
          <w:b/>
        </w:rPr>
        <w:t xml:space="preserve">The reviewer with time</w:t>
      </w:r>
      <w:r>
        <w:t xml:space="preserve"> </w:t>
      </w:r>
      <w:r>
        <w:t xml:space="preserve">reads it front-to-back: this Introduction, the Executive Summary, three objective chapters in order, then the background chapter on the instructional environment, then the supporting documentation appendix.</w:t>
      </w:r>
    </w:p>
    <w:p>
      <w:pPr>
        <w:numPr>
          <w:ilvl w:val="0"/>
          <w:numId w:val="1002"/>
        </w:numPr>
        <w:pStyle w:val="Compact"/>
      </w:pPr>
      <w:r>
        <w:rPr>
          <w:bCs/>
          <w:b/>
        </w:rPr>
        <w:t xml:space="preserve">The reviewer without time</w:t>
      </w:r>
      <w:r>
        <w:t xml:space="preserve"> </w:t>
      </w:r>
      <w:r>
        <w:t xml:space="preserve">reads the Executive Summary and stops. That summary is built to stand alone. The metrics, the per-objective synopses, and the bottom-line outcome statement are all there. The remainder of the binder is the evidence base for those claims, available when wanted.</w:t>
      </w:r>
    </w:p>
    <w:p>
      <w:pPr>
        <w:pStyle w:val="FirstParagraph"/>
      </w:pPr>
      <w:r>
        <w:t xml:space="preserve">Either path is legitimate. The binder was designed to reward both.</w:t>
      </w:r>
    </w:p>
    <w:p>
      <w:r>
        <w:pict>
          <v:rect style="width:0;height:1.5pt" o:hralign="center" o:hrstd="t" o:hr="t"/>
        </w:pict>
      </w:r>
    </w:p>
    <w:bookmarkEnd w:id="20"/>
    <w:bookmarkStart w:id="21" w:name="a-note-on-evaluation-preference"/>
    <w:p>
      <w:pPr>
        <w:pStyle w:val="Heading2"/>
      </w:pPr>
      <w:r>
        <w:t xml:space="preserve">A Note on Evaluation Preference</w:t>
      </w:r>
    </w:p>
    <w:p>
      <w:pPr>
        <w:pStyle w:val="FirstParagraph"/>
      </w:pPr>
      <w:r>
        <w:t xml:space="preserve">The author has a personal request about how he would like to be measured in this review, surfaced here because the underlying motif appears in passing in the chapters that follow:</w:t>
      </w:r>
      <w:r>
        <w:t xml:space="preserve"> </w:t>
      </w:r>
      <w:r>
        <w:rPr>
          <w:bCs/>
          <w:b/>
        </w:rPr>
        <w:t xml:space="preserve">measure rate of change, not absolute position — dy/dx, not y, if that is feasible.</w:t>
      </w:r>
    </w:p>
    <w:p>
      <w:pPr>
        <w:pStyle w:val="BodyText"/>
      </w:pPr>
      <w:r>
        <w:t xml:space="preserve">A student who arrived at zero and finished at fifty has demonstrated something more consequential to a hiring manager than the student who arrived at sixty and finished at sixty-five: they will not stay where they started. The author would prefer to be evaluated on the same basis — on movement and iteration over the review period — rather than on absolute position at a single moment.</w:t>
      </w:r>
    </w:p>
    <w:p>
      <w:pPr>
        <w:pStyle w:val="BodyText"/>
      </w:pPr>
      <w:r>
        <w:t xml:space="preserve">This is a request to BLUE / INDIGO / VIOLET, not a rubric architecture applied to students. It is offered as a preference, not a deliverable.</w:t>
      </w:r>
    </w:p>
    <w:p>
      <w:r>
        <w:pict>
          <v:rect style="width:0;height:1.5pt" o:hralign="center" o:hrstd="t" o:hr="t"/>
        </w:pict>
      </w:r>
    </w:p>
    <w:bookmarkEnd w:id="21"/>
    <w:bookmarkStart w:id="22" w:name="on-the-in-character-apparatus"/>
    <w:p>
      <w:pPr>
        <w:pStyle w:val="Heading2"/>
      </w:pPr>
      <w:r>
        <w:t xml:space="preserve">On the In-Character Apparatus</w:t>
      </w:r>
    </w:p>
    <w:p>
      <w:pPr>
        <w:pStyle w:val="FirstParagraph"/>
      </w:pPr>
      <w:r>
        <w:t xml:space="preserve">Several elements of this binder use in-character terminology drawn from AlgoCratic Futures — the satirical corporate-dystopia frame within which CSC 289 and CTS 285 are delivered. Readers will encounter the</w:t>
      </w:r>
      <w:r>
        <w:t xml:space="preserve"> </w:t>
      </w:r>
      <w:r>
        <w:rPr>
          <w:bCs/>
          <w:b/>
        </w:rPr>
        <w:t xml:space="preserve">Sacred Workflow</w:t>
      </w:r>
      <w:r>
        <w:t xml:space="preserve"> </w:t>
      </w:r>
      <w:r>
        <w:t xml:space="preserve">(the named, repeatable Git process students practice through capstone —</w:t>
      </w:r>
      <w:r>
        <w:t xml:space="preserve"> </w:t>
      </w:r>
      <w:r>
        <w:rPr>
          <w:rStyle w:val="VerbatimChar"/>
        </w:rPr>
        <w:t xml:space="preserve">Issue → Branch → Draft PR → Code &amp; Test → Finish PR → Review → Merge</w:t>
      </w:r>
      <w:r>
        <w:t xml:space="preserve">); the</w:t>
      </w:r>
      <w:r>
        <w:t xml:space="preserve"> </w:t>
      </w:r>
      <w:r>
        <w:rPr>
          <w:bCs/>
          <w:b/>
        </w:rPr>
        <w:t xml:space="preserve">clearance progression</w:t>
      </w:r>
      <w:r>
        <w:t xml:space="preserve"> </w:t>
      </w:r>
      <w:r>
        <w:t xml:space="preserve">(INFRARED → BLUE → INDIGO → VIOLET → ULTRAVIOLET, the in-world tiering system students traverse over the semester);</w:t>
      </w:r>
      <w:r>
        <w:t xml:space="preserve"> </w:t>
      </w:r>
      <w:r>
        <w:rPr>
          <w:bCs/>
          <w:b/>
        </w:rPr>
        <w:t xml:space="preserve">GRAY clearance</w:t>
      </w:r>
      <w:r>
        <w:t xml:space="preserve"> </w:t>
      </w:r>
      <w:r>
        <w:t xml:space="preserve">— an acronym for</w:t>
      </w:r>
      <w:r>
        <w:t xml:space="preserve"> </w:t>
      </w:r>
      <w:r>
        <w:rPr>
          <w:iCs/>
          <w:i/>
        </w:rPr>
        <w:t xml:space="preserve">Guidance, Review, Aesthetic Yield</w:t>
      </w:r>
      <w:r>
        <w:t xml:space="preserve">, naming the cross-functional role assigned to Graphic Design collaborators inside the simulation; and the</w:t>
      </w:r>
      <w:r>
        <w:t xml:space="preserve"> </w:t>
      </w:r>
      <w:r>
        <w:rPr>
          <w:bCs/>
          <w:b/>
        </w:rPr>
        <w:t xml:space="preserve">YELLOW Exit Ticket</w:t>
      </w:r>
      <w:r>
        <w:t xml:space="preserve"> </w:t>
      </w:r>
      <w:r>
        <w:t xml:space="preserve">(the end-of-module competency check, named for its in-simulation tier). Where these terms appear, they are functioning as proper-noun technical vocabulary for components of an instructional system that has been built and deployed — not as decorative flavor. Glosses are provided on first use.</w:t>
      </w:r>
    </w:p>
    <w:p>
      <w:pPr>
        <w:pStyle w:val="BodyText"/>
      </w:pPr>
      <w:r>
        <w:t xml:space="preserve">The frame is load-bearing pedagogy. The structural argument for why it is load-bearing — Edmondson on psychological safety, Dweck on growth mindset, Lave and Wenger on situated learning — is laid out in the background chapter on the instructional environment. The reader needs one assurance before proceeding: the work documented here is professional. The absurdity is deliberate. The citations are real.</w:t>
      </w:r>
    </w:p>
    <w:p>
      <w:r>
        <w:pict>
          <v:rect style="width:0;height:1.5pt" o:hralign="center" o:hrstd="t" o:hr="t"/>
        </w:pict>
      </w:r>
    </w:p>
    <w:bookmarkEnd w:id="22"/>
    <w:bookmarkStart w:id="23" w:name="X1a8f4d0bc0c91a42b97b96c6ea78c1001143557"/>
    <w:p>
      <w:pPr>
        <w:pStyle w:val="Heading2"/>
      </w:pPr>
      <w:r>
        <w:t xml:space="preserve">What the Reviewer Will Find Across This Binder</w:t>
      </w:r>
    </w:p>
    <w:p>
      <w:pPr>
        <w:pStyle w:val="FirstParagraph"/>
      </w:pPr>
      <w:r>
        <w:t xml:space="preserve">The objectives in this binder were specified for a course delivery role. Each was met. Some supporting infrastructure was built alongside — rubrics, milestone protocols, the instructional environment described in the background chapter — because building it was the path of least resistance to delivering the assigned work reliably. The objective chapters and the supporting documentation appendix that follow are the receipt for that claim.</w:t>
      </w:r>
    </w:p>
    <w:p>
      <w:pPr>
        <w:pStyle w:val="BodyText"/>
      </w:pPr>
      <w:r>
        <w:t xml:space="preserve">The Executive Summary that follows is the one-page version. Everything after it is the explanation.</w:t>
      </w:r>
    </w:p>
    <w:bookmarkEnd w:id="23"/>
    <w:bookmarkEnd w:id="2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Georgia" w:cs="Georgia" w:eastAsia="Georgia" w:hAnsi="Georgia"/>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AF Body Text Clean"/>
    <w:basedOn w:val="Normal"/>
    <w:link w:val="BodyTextChar"/>
    <w:qFormat/>
    <w:pPr>
      <w:spacing w:after="180" w:before="180"/>
    </w:pPr>
  </w:style>
  <w:style w:customStyle="1" w:styleId="FirstParagraph" w:type="paragraph">
    <w:name w:val="AF Body Text Clean"/>
    <w:basedOn w:val="BodyText"/>
    <w:next w:val="BodyText"/>
    <w:qFormat/>
  </w:style>
  <w:style w:customStyle="1" w:styleId="Compact" w:type="paragraph">
    <w:name w:val="AF Body Text Clean"/>
    <w:basedOn w:val="BodyText"/>
    <w:qFormat/>
    <w:pPr>
      <w:spacing w:after="36" w:before="36"/>
    </w:pPr>
  </w:style>
  <w:style w:styleId="Title" w:type="paragraph">
    <w:name w:val="AF Title"/>
    <w:basedOn w:val="Normal"/>
    <w:next w:val="BodyText"/>
    <w:link w:val="TitleChar"/>
    <w:uiPriority w:val="10"/>
    <w:qFormat/>
    <w:rsid w:val="00A10FD9"/>
    <w:pPr>
      <w:spacing w:after="80" w:line="240" w:lineRule="auto"/>
      <w:contextualSpacing/>
      <w:jc w:val="center"/>
    </w:pPr>
    <w:rPr>
      <w:rFonts w:ascii="Arial Narrow" w:cs="Arial Narrow" w:eastAsia="Arial Narrow" w:hAnsi="Arial Narrow"/>
      <w:sz w:val="56"/>
      <w:szCs w:val="56"/>
    </w:rPr>
  </w:style>
  <w:style w:customStyle="1" w:styleId="TitleChar" w:type="character">
    <w:name w:val="Title Char"/>
    <w:basedOn w:val="DefaultParagraphFont"/>
    <w:link w:val="Title"/>
    <w:uiPriority w:val="10"/>
    <w:rsid w:val="00A10FD9"/>
    <w:rPr>
      <w:rFonts w:ascii="Arial Narrow" w:cs="Arial Narrow" w:eastAsia="Arial Narrow" w:hAnsi="Arial Narrow"/>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AF Title"/>
    <w:basedOn w:val="Normal"/>
    <w:next w:val="BodyText"/>
    <w:link w:val="Heading1Char"/>
    <w:uiPriority w:val="9"/>
    <w:qFormat/>
    <w:rsid w:val="00A10FD9"/>
    <w:pPr>
      <w:keepNext/>
      <w:keepLines/>
      <w:spacing w:after="80" w:before="360"/>
      <w:outlineLvl w:val="0"/>
    </w:pPr>
    <w:rPr>
      <w:rFonts w:ascii="Arial Narrow" w:cs="Arial Narrow" w:eastAsia="Arial Narrow" w:hAnsi="Arial Narrow"/>
      <w:color w:val="1A2332"/>
      <w:sz w:val="40"/>
      <w:szCs w:val="40"/>
    </w:rPr>
  </w:style>
  <w:style w:styleId="Heading2" w:type="paragraph">
    <w:name w:val="AF Headline"/>
    <w:basedOn w:val="Normal"/>
    <w:next w:val="BodyText"/>
    <w:link w:val="Heading2Char"/>
    <w:uiPriority w:val="9"/>
    <w:semiHidden/>
    <w:unhideWhenUsed/>
    <w:qFormat/>
    <w:rsid w:val="00A10FD9"/>
    <w:pPr>
      <w:keepNext/>
      <w:keepLines/>
      <w:spacing w:after="80" w:before="160"/>
      <w:outlineLvl w:val="1"/>
    </w:pPr>
    <w:rPr>
      <w:rFonts w:ascii="Arial Narrow" w:cs="Arial Narrow" w:eastAsia="Arial Narrow" w:hAnsi="Arial Narrow"/>
      <w:color w:val="1A2332"/>
      <w:sz w:val="32"/>
      <w:szCs w:val="32"/>
    </w:rPr>
  </w:style>
  <w:style w:styleId="Heading3" w:type="paragraph">
    <w:name w:val="AF Subheading"/>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val="1A2332"/>
      <w:sz w:val="28"/>
      <w:szCs w:val="28"/>
    </w:rPr>
  </w:style>
  <w:style w:styleId="Heading4" w:type="paragraph">
    <w:name w:val="AF Heading Soft"/>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val="1A2332"/>
    </w:rPr>
  </w:style>
  <w:style w:styleId="Heading5" w:type="paragraph">
    <w:name w:val="AF Heading 6"/>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val="1A2332"/>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Arial Narrow" w:cs="Arial Narrow" w:eastAsia="Arial Narrow" w:hAnsi="Arial Narrow"/>
      <w:color w:val="1A2332"/>
      <w:sz w:val="40"/>
      <w:szCs w:val="40"/>
    </w:rPr>
  </w:style>
  <w:style w:customStyle="1" w:styleId="Heading2Char" w:type="character">
    <w:name w:val="Heading 2 Char"/>
    <w:basedOn w:val="DefaultParagraphFont"/>
    <w:link w:val="Heading2"/>
    <w:uiPriority w:val="9"/>
    <w:semiHidden/>
    <w:rsid w:val="00A10FD9"/>
    <w:rPr>
      <w:rFonts w:ascii="Arial Narrow" w:cs="Arial Narrow" w:eastAsia="Arial Narrow" w:hAnsi="Arial Narrow"/>
      <w:color w:val="1A2332"/>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val="1A2332"/>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val="1A2332"/>
    </w:rPr>
  </w:style>
  <w:style w:customStyle="1" w:styleId="Heading5Char" w:type="character">
    <w:name w:val="Heading 5 Char"/>
    <w:basedOn w:val="DefaultParagraphFont"/>
    <w:link w:val="Heading5"/>
    <w:uiPriority w:val="9"/>
    <w:semiHidden/>
    <w:rsid w:val="00A10FD9"/>
    <w:rPr>
      <w:rFonts w:cstheme="majorBidi" w:eastAsiaTheme="majorEastAsia"/>
      <w:color w:val="1A2332"/>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AF Pull Quote"/>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AF 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AF Inline Code"/>
    <w:basedOn w:val="BodyTextChar"/>
    <w:rPr>
      <w:rFonts w:ascii="Courier New" w:hAnsi="Courier New"/>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AF Body Text Typewriter"/>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2026-08-02T12:25:54Z</dcterms:created>
  <dcterms:modified xsi:type="dcterms:W3CDTF">2026-08-02T12:25:54Z</dcterms:modified>
</cp:coreProperties>
</file>

<file path=docProps/custom.xml><?xml version="1.0" encoding="utf-8"?>
<Properties xmlns="http://schemas.openxmlformats.org/officeDocument/2006/custom-properties" xmlns:vt="http://schemas.openxmlformats.org/officeDocument/2006/docPropsVTypes"/>
</file>