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97ad94f6f62597f0646f9bf0ade5f5fcad6b432"/>
    <w:p>
      <w:pPr>
        <w:pStyle w:val="Heading1"/>
      </w:pPr>
      <w:r>
        <w:t xml:space="preserve">Objective 1: Cross-Departmental Capstone Collaboration Framework</w:t>
      </w:r>
    </w:p>
    <w:p>
      <w:r>
        <w:pict>
          <v:rect style="width:0;height:1.5pt" o:hralign="center" o:hrstd="t" o:hr="t"/>
        </w:pict>
      </w:r>
    </w:p>
    <w:bookmarkStart w:id="20" w:name="objective-statement"/>
    <w:p>
      <w:pPr>
        <w:pStyle w:val="Heading2"/>
      </w:pPr>
      <w:r>
        <w:t xml:space="preserve">Objective Statement</w:t>
      </w:r>
    </w:p>
    <w:p>
      <w:pPr>
        <w:pStyle w:val="FirstParagraph"/>
      </w:pPr>
      <w:r>
        <w:rPr>
          <w:bCs/>
          <w:b/>
        </w:rPr>
        <w:t xml:space="preserve">Original objective (verbatim):</w:t>
      </w:r>
      <w:r>
        <w:t xml:space="preserve"> </w:t>
      </w:r>
      <w:r>
        <w:t xml:space="preserve">“</w:t>
      </w:r>
      <w:r>
        <w:t xml:space="preserve">Meet three times with cross-department students for assignments.</w:t>
      </w:r>
      <w:r>
        <w:t xml:space="preserve">”</w:t>
      </w:r>
    </w:p>
    <w:p>
      <w:pPr>
        <w:pStyle w:val="BodyText"/>
      </w:pPr>
      <w:r>
        <w:rPr>
          <w:bCs/>
          <w:b/>
        </w:rPr>
        <w:t xml:space="preserve">Purpose:</w:t>
      </w:r>
      <w:r>
        <w:t xml:space="preserve"> </w:t>
      </w:r>
      <w:r>
        <w:t xml:space="preserve">Develop and formalize a cross-departmental collaboration framework between Computer Science and Graphic Design capstone courses by implementing structured processes and assessment methods.</w:t>
      </w:r>
    </w:p>
    <w:p>
      <w:pPr>
        <w:pStyle w:val="BodyText"/>
      </w:pPr>
      <w:r>
        <w:rPr>
          <w:bCs/>
          <w:b/>
        </w:rPr>
        <w:t xml:space="preserve">Requirements:</w:t>
      </w:r>
    </w:p>
    <w:p>
      <w:pPr>
        <w:numPr>
          <w:ilvl w:val="0"/>
          <w:numId w:val="1001"/>
        </w:numPr>
        <w:pStyle w:val="Compact"/>
      </w:pPr>
      <w:r>
        <w:t xml:space="preserve">Document and standardize the Creative Brief process with the Graphic Design department</w:t>
      </w:r>
    </w:p>
    <w:p>
      <w:pPr>
        <w:numPr>
          <w:ilvl w:val="0"/>
          <w:numId w:val="1001"/>
        </w:numPr>
        <w:pStyle w:val="Compact"/>
      </w:pPr>
      <w:r>
        <w:t xml:space="preserve">Establish three formal touchpoints/milestones in the collaboration cycle</w:t>
      </w:r>
    </w:p>
    <w:p>
      <w:pPr>
        <w:numPr>
          <w:ilvl w:val="0"/>
          <w:numId w:val="1001"/>
        </w:numPr>
        <w:pStyle w:val="Compact"/>
      </w:pPr>
      <w:r>
        <w:t xml:space="preserve">Create rubrics for evaluating cross-team communication and deliverable integration</w:t>
      </w:r>
    </w:p>
    <w:p>
      <w:pPr>
        <w:pStyle w:val="FirstParagraph"/>
      </w:pPr>
      <w:r>
        <w:rPr>
          <w:bCs/>
          <w:b/>
        </w:rPr>
        <w:t xml:space="preserve">Status:</w:t>
      </w:r>
      <w:r>
        <w:t xml:space="preserve"> </w:t>
      </w:r>
      <w:r>
        <w:t xml:space="preserve">Achieved — January 2026.</w:t>
      </w:r>
    </w:p>
    <w:p>
      <w:r>
        <w:pict>
          <v:rect style="width:0;height:1.5pt" o:hralign="center" o:hrstd="t" o:hr="t"/>
        </w:pict>
      </w:r>
    </w:p>
    <w:bookmarkEnd w:id="20"/>
    <w:bookmarkStart w:id="21" w:name="why-this-work-was-the-right-call"/>
    <w:p>
      <w:pPr>
        <w:pStyle w:val="Heading2"/>
      </w:pPr>
      <w:r>
        <w:t xml:space="preserve">Why This Work Was the Right Call</w:t>
      </w:r>
    </w:p>
    <w:p>
      <w:pPr>
        <w:pStyle w:val="FirstParagraph"/>
      </w:pPr>
      <w:r>
        <w:t xml:space="preserve">Employer surveys (e.g., NACE Job Outlook 2025) and prior interdisciplinary CS-and-design capstone work (Performamatics; Georgia Tech Junior Design; Mahnič’s Scrum capstone study) consistently report that cross-functional collaboration is a skill students benefit from rehearsing in school rather than encountering for the first time on the job — which is the premise this initiative was built on.</w:t>
      </w:r>
    </w:p>
    <w:p>
      <w:r>
        <w:pict>
          <v:rect style="width:0;height:1.5pt" o:hralign="center" o:hrstd="t" o:hr="t"/>
        </w:pict>
      </w:r>
    </w:p>
    <w:bookmarkEnd w:id="21"/>
    <w:bookmarkStart w:id="22" w:name="X22c3debc7a0cfef1f33de0a18a50af16676131c"/>
    <w:p>
      <w:pPr>
        <w:pStyle w:val="Heading2"/>
      </w:pPr>
      <w:r>
        <w:t xml:space="preserve">The Design Problem — And Why Informal Coordination Had Already Failed</w:t>
      </w:r>
    </w:p>
    <w:p>
      <w:pPr>
        <w:pStyle w:val="FirstParagraph"/>
      </w:pPr>
      <w:r>
        <w:t xml:space="preserve">The default state for cross-departmental collaboration in higher education is informal coordination: instructors agree in principle, students are told to work together, and friction resolves itself — or it doesn’t, and projects absorb the consequences late in the semester. That default state fails reliably and for predictable reasons:</w:t>
      </w:r>
    </w:p>
    <w:p>
      <w:pPr>
        <w:numPr>
          <w:ilvl w:val="0"/>
          <w:numId w:val="1002"/>
        </w:numPr>
        <w:pStyle w:val="Compact"/>
      </w:pPr>
      <w:r>
        <w:t xml:space="preserve">Departments run on different milestone schedules, so deliverable timing never quite aligns</w:t>
      </w:r>
    </w:p>
    <w:p>
      <w:pPr>
        <w:numPr>
          <w:ilvl w:val="0"/>
          <w:numId w:val="1002"/>
        </w:numPr>
        <w:pStyle w:val="Compact"/>
      </w:pPr>
      <w:r>
        <w:t xml:space="preserve">Disciplinary terminology diverges in ways neither party recognizes until handoffs break</w:t>
      </w:r>
    </w:p>
    <w:p>
      <w:pPr>
        <w:numPr>
          <w:ilvl w:val="0"/>
          <w:numId w:val="1002"/>
        </w:numPr>
        <w:pStyle w:val="Compact"/>
      </w:pPr>
      <w:r>
        <w:t xml:space="preserve">Ownership of shared deliverables is ambiguous, so each side waits for the other</w:t>
      </w:r>
    </w:p>
    <w:p>
      <w:pPr>
        <w:numPr>
          <w:ilvl w:val="0"/>
          <w:numId w:val="1002"/>
        </w:numPr>
        <w:pStyle w:val="Compact"/>
      </w:pPr>
      <w:r>
        <w:t xml:space="preserve">Collaboration quality is either not assessed at all, or assessed only as part of a product grade that obscures whether the team actually functioned</w:t>
      </w:r>
    </w:p>
    <w:p>
      <w:pPr>
        <w:pStyle w:val="FirstParagraph"/>
      </w:pPr>
      <w:r>
        <w:t xml:space="preserve">The failure modes here are not character flaws — they are structural deficiencies. The industry literature on design-development collaboration identifies the same pathologies in professional teams. According to the</w:t>
      </w:r>
      <w:r>
        <w:t xml:space="preserve"> </w:t>
      </w:r>
      <w:r>
        <w:rPr>
          <w:bCs/>
          <w:b/>
        </w:rPr>
        <w:t xml:space="preserve">Nielsen Norman Group’s</w:t>
      </w:r>
      <w:r>
        <w:rPr>
          <w:bCs/>
          <w:b/>
        </w:rPr>
        <w:t xml:space="preserve"> </w:t>
      </w:r>
      <w:r>
        <w:rPr>
          <w:bCs/>
          <w:b/>
        </w:rPr>
        <w:t xml:space="preserve">“</w:t>
      </w:r>
      <w:r>
        <w:rPr>
          <w:bCs/>
          <w:b/>
        </w:rPr>
        <w:t xml:space="preserve">Creating Design Specs for Development</w:t>
      </w:r>
      <w:r>
        <w:rPr>
          <w:bCs/>
          <w:b/>
        </w:rPr>
        <w:t xml:space="preserve">”</w:t>
      </w:r>
      <w:r>
        <w:t xml:space="preserve"> </w:t>
      </w:r>
      <w:r>
        <w:t xml:space="preserve">(2025), the absence of formal documentation creates</w:t>
      </w:r>
      <w:r>
        <w:t xml:space="preserve"> </w:t>
      </w:r>
      <w:r>
        <w:t xml:space="preserve">“</w:t>
      </w:r>
      <w:r>
        <w:t xml:space="preserve">confusion and frustration in design and development teams</w:t>
      </w:r>
      <w:r>
        <w:t xml:space="preserve">”</w:t>
      </w:r>
      <w:r>
        <w:t xml:space="preserve"> </w:t>
      </w:r>
      <w:r>
        <w:t xml:space="preserve">that would be preventable with what NN/g describes as a</w:t>
      </w:r>
      <w:r>
        <w:t xml:space="preserve"> </w:t>
      </w:r>
      <w:r>
        <w:t xml:space="preserve">“</w:t>
      </w:r>
      <w:r>
        <w:t xml:space="preserve">contract between design and development.</w:t>
      </w:r>
      <w:r>
        <w:t xml:space="preserve">”</w:t>
      </w:r>
      <w:r>
        <w:t xml:space="preserve"> </w:t>
      </w:r>
      <w:r>
        <w:t xml:space="preserve">The</w:t>
      </w:r>
      <w:r>
        <w:t xml:space="preserve"> </w:t>
      </w:r>
      <w:r>
        <w:rPr>
          <w:bCs/>
          <w:b/>
        </w:rPr>
        <w:t xml:space="preserve">Interaction Design Foundation’s 2026 handoff curriculum</w:t>
      </w:r>
      <w:r>
        <w:t xml:space="preserve"> </w:t>
      </w:r>
      <w:r>
        <w:t xml:space="preserve">catalogs the most common professional failures: vague specifications, disorganized files, missing edge-case documentation, and an over-the-wall mentality in which design and development treat each other as sequential rather than collaborative.</w:t>
      </w:r>
    </w:p>
    <w:p>
      <w:pPr>
        <w:pStyle w:val="BodyText"/>
      </w:pPr>
      <w:r>
        <w:t xml:space="preserve">These are exactly the failure modes students encounter when collaboration structure isn’t built into the course. Naming them as industry defects — not just student shortcomings — is part of what makes this framework pedagogically honest.</w:t>
      </w:r>
    </w:p>
    <w:p>
      <w:r>
        <w:pict>
          <v:rect style="width:0;height:1.5pt" o:hralign="center" o:hrstd="t" o:hr="t"/>
        </w:pict>
      </w:r>
    </w:p>
    <w:bookmarkEnd w:id="22"/>
    <w:bookmarkStart w:id="27" w:name="framework-architecture"/>
    <w:p>
      <w:pPr>
        <w:pStyle w:val="Heading2"/>
      </w:pPr>
      <w:r>
        <w:t xml:space="preserve">Framework Architecture</w:t>
      </w:r>
    </w:p>
    <w:p>
      <w:pPr>
        <w:pStyle w:val="FirstParagraph"/>
      </w:pPr>
      <w:r>
        <w:t xml:space="preserve">The framework is organized around one insight: structure doesn’t constrain creativity; it creates the conditions in which creativity can be delivered reliably.</w:t>
      </w:r>
    </w:p>
    <w:bookmarkStart w:id="23" w:name="role-clarity-the-gray-clearance-model"/>
    <w:p>
      <w:pPr>
        <w:pStyle w:val="Heading3"/>
      </w:pPr>
      <w:r>
        <w:t xml:space="preserve">Role Clarity: The GRAY Clearance Model</w:t>
      </w:r>
    </w:p>
    <w:p>
      <w:pPr>
        <w:pStyle w:val="FirstParagraph"/>
      </w:pPr>
      <w:r>
        <w:t xml:space="preserve">Within the AlgoCratic Futures project context, Graphic Design students were designated</w:t>
      </w:r>
      <w:r>
        <w:t xml:space="preserve"> </w:t>
      </w:r>
      <w:r>
        <w:rPr>
          <w:bCs/>
          <w:b/>
        </w:rPr>
        <w:t xml:space="preserve">GRAY clearance</w:t>
      </w:r>
      <w:r>
        <w:t xml:space="preserve"> </w:t>
      </w:r>
      <w:r>
        <w:t xml:space="preserve">— an acronym for</w:t>
      </w:r>
      <w:r>
        <w:t xml:space="preserve"> </w:t>
      </w:r>
      <w:r>
        <w:rPr>
          <w:iCs/>
          <w:i/>
        </w:rPr>
        <w:t xml:space="preserve">Guidance, Review, Aesthetic Yield</w:t>
      </w:r>
      <w:r>
        <w:t xml:space="preserve">, naming a cross-functional specialist role operating within the same project structure as CS teams but under a distinct operational mandate. This framing solved the most persistent problem in cross-disciplinary collaboration: role ambiguity.</w:t>
      </w:r>
    </w:p>
    <w:p>
      <w:pPr>
        <w:pStyle w:val="BodyText"/>
      </w:pPr>
      <w:r>
        <w:t xml:space="preserve">When roles are vague, students default to either avoidance (waiting for the other party to define the work) or collision (overlapping efforts, conflicting directions). The GRAY designation did four structural things:</w:t>
      </w:r>
    </w:p>
    <w:p>
      <w:pPr>
        <w:numPr>
          <w:ilvl w:val="0"/>
          <w:numId w:val="1003"/>
        </w:numPr>
        <w:pStyle w:val="Compact"/>
      </w:pPr>
      <w:r>
        <w:t xml:space="preserve">Established design students as specialized consultants with defined deliverables — not subordinate support, not passive recipients</w:t>
      </w:r>
    </w:p>
    <w:p>
      <w:pPr>
        <w:numPr>
          <w:ilvl w:val="0"/>
          <w:numId w:val="1003"/>
        </w:numPr>
        <w:pStyle w:val="Compact"/>
      </w:pPr>
      <w:r>
        <w:t xml:space="preserve">Positioned the Creative Brief as a formal work order between professional roles, creating mutual accountability</w:t>
      </w:r>
    </w:p>
    <w:p>
      <w:pPr>
        <w:numPr>
          <w:ilvl w:val="0"/>
          <w:numId w:val="1003"/>
        </w:numPr>
        <w:pStyle w:val="Compact"/>
      </w:pPr>
      <w:r>
        <w:t xml:space="preserve">Integrated both departments into the same Scrum milestone structure, so neither operated on an external or implicit schedule</w:t>
      </w:r>
    </w:p>
    <w:p>
      <w:pPr>
        <w:numPr>
          <w:ilvl w:val="0"/>
          <w:numId w:val="1003"/>
        </w:numPr>
        <w:pStyle w:val="Compact"/>
      </w:pPr>
      <w:r>
        <w:t xml:space="preserve">Brought design students into CS Scrum ceremonies — standups, sprint planning, sprint reviews, retrospectives — as full participants</w:t>
      </w:r>
    </w:p>
    <w:p>
      <w:pPr>
        <w:pStyle w:val="FirstParagraph"/>
      </w:pPr>
      <w:r>
        <w:t xml:space="preserve">This approach mirrors how professional cross-functional teams actually operate. The</w:t>
      </w:r>
      <w:r>
        <w:t xml:space="preserve"> </w:t>
      </w:r>
      <w:r>
        <w:rPr>
          <w:bCs/>
          <w:b/>
        </w:rPr>
        <w:t xml:space="preserve">Scrum Alliance</w:t>
      </w:r>
      <w:r>
        <w:t xml:space="preserve"> </w:t>
      </w:r>
      <w:r>
        <w:t xml:space="preserve">defines cross-functional teams as those whose members</w:t>
      </w:r>
      <w:r>
        <w:t xml:space="preserve"> </w:t>
      </w:r>
      <w:r>
        <w:t xml:space="preserve">“</w:t>
      </w:r>
      <w:r>
        <w:t xml:space="preserve">can include developers, testers, designers, and any other roles required to achieve the sprint goal</w:t>
      </w:r>
      <w:r>
        <w:t xml:space="preserve">”</w:t>
      </w:r>
      <w:r>
        <w:t xml:space="preserve"> </w:t>
      </w:r>
      <w:r>
        <w:t xml:space="preserve">— an explicit acknowledgment that design is not external to the development process. The</w:t>
      </w:r>
      <w:r>
        <w:t xml:space="preserve"> </w:t>
      </w:r>
      <w:r>
        <w:rPr>
          <w:bCs/>
          <w:b/>
        </w:rPr>
        <w:t xml:space="preserve">U.S. Digital Service TechFAR Hub</w:t>
      </w:r>
      <w:r>
        <w:t xml:space="preserve"> </w:t>
      </w:r>
      <w:r>
        <w:t xml:space="preserve">guidance reinforces this: federal agile teams are now expected to be cross-functional by default.</w:t>
      </w:r>
    </w:p>
    <w:p>
      <w:r>
        <w:pict>
          <v:rect style="width:0;height:1.5pt" o:hralign="center" o:hrstd="t" o:hr="t"/>
        </w:pict>
      </w:r>
    </w:p>
    <w:bookmarkEnd w:id="23"/>
    <w:bookmarkStart w:id="24" w:name="X45c5ec743299cb364d773008414490bc10c2d9f"/>
    <w:p>
      <w:pPr>
        <w:pStyle w:val="Heading3"/>
      </w:pPr>
      <w:r>
        <w:t xml:space="preserve">Deliverable 1: The Standardized Creative Brief Process</w:t>
      </w:r>
    </w:p>
    <w:p>
      <w:pPr>
        <w:pStyle w:val="FirstParagraph"/>
      </w:pPr>
      <w:r>
        <w:rPr>
          <w:bCs/>
          <w:b/>
        </w:rPr>
        <w:t xml:space="preserve">Documentation created:</w:t>
      </w:r>
      <w:r>
        <w:t xml:space="preserve"> </w:t>
      </w:r>
      <w:r>
        <w:rPr>
          <w:rStyle w:val="VerbatimChar"/>
        </w:rPr>
        <w:t xml:space="preserve">26SP_Cross_Discipline_Protocol.md</w:t>
      </w:r>
    </w:p>
    <w:p>
      <w:pPr>
        <w:pStyle w:val="BodyText"/>
      </w:pPr>
      <w:r>
        <w:t xml:space="preserve">The Creative Brief process formalized a staged exchange between CS teams and GRD students across three document types:</w:t>
      </w:r>
    </w:p>
    <w:p>
      <w:pPr>
        <w:numPr>
          <w:ilvl w:val="0"/>
          <w:numId w:val="1004"/>
        </w:numPr>
        <w:pStyle w:val="Compact"/>
      </w:pPr>
      <w:r>
        <w:rPr>
          <w:bCs/>
          <w:b/>
        </w:rPr>
        <w:t xml:space="preserve">Product Brief</w:t>
      </w:r>
      <w:r>
        <w:t xml:space="preserve"> </w:t>
      </w:r>
      <w:r>
        <w:t xml:space="preserve">(CS → GRD): project context, user personas, design requirements</w:t>
      </w:r>
    </w:p>
    <w:p>
      <w:pPr>
        <w:numPr>
          <w:ilvl w:val="0"/>
          <w:numId w:val="1004"/>
        </w:numPr>
        <w:pStyle w:val="Compact"/>
      </w:pPr>
      <w:r>
        <w:rPr>
          <w:bCs/>
          <w:b/>
        </w:rPr>
        <w:t xml:space="preserve">Technical Brief</w:t>
      </w:r>
      <w:r>
        <w:t xml:space="preserve"> </w:t>
      </w:r>
      <w:r>
        <w:t xml:space="preserve">(CS → GRD): constraints, asset formats, integration specifications</w:t>
      </w:r>
    </w:p>
    <w:p>
      <w:pPr>
        <w:numPr>
          <w:ilvl w:val="0"/>
          <w:numId w:val="1004"/>
        </w:numPr>
        <w:pStyle w:val="Compact"/>
      </w:pPr>
      <w:r>
        <w:rPr>
          <w:bCs/>
          <w:b/>
        </w:rPr>
        <w:t xml:space="preserve">Design Brief Response</w:t>
      </w:r>
      <w:r>
        <w:t xml:space="preserve"> </w:t>
      </w:r>
      <w:r>
        <w:t xml:space="preserve">(GRD → CS): concept proposals, mockup iterations, delivery specifications</w:t>
      </w:r>
    </w:p>
    <w:p>
      <w:pPr>
        <w:pStyle w:val="FirstParagraph"/>
      </w:pPr>
      <w:r>
        <w:rPr>
          <w:bCs/>
          <w:b/>
        </w:rPr>
        <w:t xml:space="preserve">Process sequence (Sprint 0 is the pre-build planning sprint; Sprint 1 is the first build sprint):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Event</w:t>
            </w:r>
          </w:p>
        </w:tc>
        <w:tc>
          <w:tcPr/>
          <w:p>
            <w:pPr>
              <w:pStyle w:val="Compact"/>
              <w:jc w:val="left"/>
            </w:pPr>
            <w:r>
              <w:t xml:space="preserve">Timing</w:t>
            </w:r>
          </w:p>
        </w:tc>
      </w:tr>
      <w:tr>
        <w:tc>
          <w:tcPr/>
          <w:p>
            <w:pPr>
              <w:pStyle w:val="Compact"/>
              <w:jc w:val="left"/>
            </w:pPr>
            <w:r>
              <w:t xml:space="preserve">Sprint 0, Wk 2</w:t>
            </w:r>
          </w:p>
        </w:tc>
        <w:tc>
          <w:tcPr/>
          <w:p>
            <w:pPr>
              <w:pStyle w:val="Compact"/>
              <w:jc w:val="left"/>
            </w:pPr>
            <w:r>
              <w:t xml:space="preserve">CS team submits Product and Technical Briefs</w:t>
            </w:r>
          </w:p>
        </w:tc>
        <w:tc>
          <w:tcPr/>
          <w:p>
            <w:pPr>
              <w:pStyle w:val="Compact"/>
              <w:jc w:val="left"/>
            </w:pPr>
            <w:r>
              <w:t xml:space="preserve">—</w:t>
            </w:r>
          </w:p>
        </w:tc>
      </w:tr>
      <w:tr>
        <w:tc>
          <w:tcPr/>
          <w:p>
            <w:pPr>
              <w:pStyle w:val="Compact"/>
              <w:jc w:val="left"/>
            </w:pPr>
            <w:r>
              <w:t xml:space="preserve">Sprint 0, Wk 3</w:t>
            </w:r>
          </w:p>
        </w:tc>
        <w:tc>
          <w:tcPr/>
          <w:p>
            <w:pPr>
              <w:pStyle w:val="Compact"/>
              <w:jc w:val="left"/>
            </w:pPr>
            <w:r>
              <w:t xml:space="preserve">GRD student submits clarifying questions</w:t>
            </w:r>
          </w:p>
        </w:tc>
        <w:tc>
          <w:tcPr/>
          <w:p>
            <w:pPr>
              <w:pStyle w:val="Compact"/>
              <w:jc w:val="left"/>
            </w:pPr>
            <w:r>
              <w:t xml:space="preserve">—</w:t>
            </w:r>
          </w:p>
        </w:tc>
      </w:tr>
      <w:tr>
        <w:tc>
          <w:tcPr/>
          <w:p>
            <w:pPr>
              <w:pStyle w:val="Compact"/>
              <w:jc w:val="left"/>
            </w:pPr>
            <w:r>
              <w:t xml:space="preserve">Sprint 0, Wk 4</w:t>
            </w:r>
          </w:p>
        </w:tc>
        <w:tc>
          <w:tcPr/>
          <w:p>
            <w:pPr>
              <w:pStyle w:val="Compact"/>
              <w:jc w:val="left"/>
            </w:pPr>
            <w:r>
              <w:t xml:space="preserve">CS team refines brief with answers</w:t>
            </w:r>
          </w:p>
        </w:tc>
        <w:tc>
          <w:tcPr/>
          <w:p>
            <w:pPr>
              <w:pStyle w:val="Compact"/>
              <w:jc w:val="left"/>
            </w:pPr>
            <w:r>
              <w:t xml:space="preserve">—</w:t>
            </w:r>
          </w:p>
        </w:tc>
      </w:tr>
      <w:tr>
        <w:tc>
          <w:tcPr/>
          <w:p>
            <w:pPr>
              <w:pStyle w:val="Compact"/>
              <w:jc w:val="left"/>
            </w:pPr>
            <w:r>
              <w:t xml:space="preserve">Sprint 1, Wk 1</w:t>
            </w:r>
          </w:p>
        </w:tc>
        <w:tc>
          <w:tcPr/>
          <w:p>
            <w:pPr>
              <w:pStyle w:val="Compact"/>
              <w:jc w:val="left"/>
            </w:pPr>
            <w:r>
              <w:t xml:space="preserve">GRD student delivers concept mockups</w:t>
            </w:r>
          </w:p>
        </w:tc>
        <w:tc>
          <w:tcPr/>
          <w:p>
            <w:pPr>
              <w:pStyle w:val="Compact"/>
              <w:jc w:val="left"/>
            </w:pPr>
            <w:r>
              <w:t xml:space="preserve">—</w:t>
            </w:r>
          </w:p>
        </w:tc>
      </w:tr>
      <w:tr>
        <w:tc>
          <w:tcPr/>
          <w:p>
            <w:pPr>
              <w:pStyle w:val="Compact"/>
              <w:jc w:val="left"/>
            </w:pPr>
            <w:r>
              <w:t xml:space="preserve">Sprint 1, Wk 2</w:t>
            </w:r>
          </w:p>
        </w:tc>
        <w:tc>
          <w:tcPr/>
          <w:p>
            <w:pPr>
              <w:pStyle w:val="Compact"/>
              <w:jc w:val="left"/>
            </w:pPr>
            <w:r>
              <w:t xml:space="preserve">CS team provides integration feedback</w:t>
            </w:r>
          </w:p>
        </w:tc>
        <w:tc>
          <w:tcPr/>
          <w:p>
            <w:pPr>
              <w:pStyle w:val="Compact"/>
              <w:jc w:val="left"/>
            </w:pPr>
            <w:r>
              <w:t xml:space="preserve">—</w:t>
            </w:r>
          </w:p>
        </w:tc>
      </w:tr>
      <w:tr>
        <w:tc>
          <w:tcPr/>
          <w:p>
            <w:pPr>
              <w:pStyle w:val="Compact"/>
              <w:jc w:val="left"/>
            </w:pPr>
            <w:r>
              <w:t xml:space="preserve">Sprint 1, Wk 3–4</w:t>
            </w:r>
          </w:p>
        </w:tc>
        <w:tc>
          <w:tcPr/>
          <w:p>
            <w:pPr>
              <w:pStyle w:val="Compact"/>
              <w:jc w:val="left"/>
            </w:pPr>
            <w:r>
              <w:t xml:space="preserve">GRD student delivers production assets</w:t>
            </w:r>
          </w:p>
        </w:tc>
        <w:tc>
          <w:tcPr/>
          <w:p>
            <w:pPr>
              <w:pStyle w:val="Compact"/>
              <w:jc w:val="left"/>
            </w:pPr>
            <w:r>
              <w:t xml:space="preserve">—</w:t>
            </w:r>
          </w:p>
        </w:tc>
      </w:tr>
    </w:tbl>
    <w:p>
      <w:pPr>
        <w:pStyle w:val="BodyText"/>
      </w:pPr>
      <w:r>
        <w:rPr>
          <w:bCs/>
          <w:b/>
        </w:rPr>
        <w:t xml:space="preserve">Why this structure maps to industry norms:</w:t>
      </w:r>
      <w:r>
        <w:t xml:space="preserve"> </w:t>
      </w:r>
      <w:r>
        <w:t xml:space="preserve">NN/g’s framing of design specifications as a</w:t>
      </w:r>
      <w:r>
        <w:t xml:space="preserve"> </w:t>
      </w:r>
      <w:r>
        <w:t xml:space="preserve">“</w:t>
      </w:r>
      <w:r>
        <w:t xml:space="preserve">contract</w:t>
      </w:r>
      <w:r>
        <w:t xml:space="preserve">”</w:t>
      </w:r>
      <w:r>
        <w:t xml:space="preserve"> </w:t>
      </w:r>
      <w:r>
        <w:t xml:space="preserve">between teams is not metaphorical — it reflects how high-functioning product teams assign accountability. When a student can point to a brief they submitted, a question they asked, and an asset they delivered to specification, they are rehearsing the documentation habits professional product teams depend on. They are also generating the paper trail that allows assessment to be specific rather than impressionistic.</w:t>
      </w:r>
    </w:p>
    <w:p>
      <w:pPr>
        <w:pStyle w:val="BodyText"/>
      </w:pPr>
      <w:r>
        <w:rPr>
          <w:bCs/>
          <w:b/>
        </w:rPr>
        <w:t xml:space="preserve">Previous state:</w:t>
      </w:r>
      <w:r>
        <w:t xml:space="preserve"> </w:t>
      </w:r>
      <w:r>
        <w:t xml:space="preserve">Each CS/GRD pairing negotiated its own process, with no standardized artifacts and no baseline for evaluation.</w:t>
      </w:r>
      <w:r>
        <w:t xml:space="preserve"> </w:t>
      </w:r>
      <w:r>
        <w:rPr>
          <w:bCs/>
          <w:b/>
        </w:rPr>
        <w:t xml:space="preserve">Current state:</w:t>
      </w:r>
      <w:r>
        <w:t xml:space="preserve"> </w:t>
      </w:r>
      <w:r>
        <w:t xml:space="preserve">A documented protocol with clear handoffs, defined deliverable formats, and a repeatable sequence.</w:t>
      </w:r>
    </w:p>
    <w:p>
      <w:r>
        <w:pict>
          <v:rect style="width:0;height:1.5pt" o:hralign="center" o:hrstd="t" o:hr="t"/>
        </w:pict>
      </w:r>
    </w:p>
    <w:bookmarkEnd w:id="24"/>
    <w:bookmarkStart w:id="25" w:name="deliverable-2-three-formal-touchpoints"/>
    <w:p>
      <w:pPr>
        <w:pStyle w:val="Heading3"/>
      </w:pPr>
      <w:r>
        <w:t xml:space="preserve">Deliverable 2: Three Formal Touchpoints</w:t>
      </w:r>
    </w:p>
    <w:p>
      <w:pPr>
        <w:pStyle w:val="FirstParagraph"/>
      </w:pPr>
      <w:r>
        <w:rPr>
          <w:bCs/>
          <w:b/>
        </w:rPr>
        <w:t xml:space="preserve">Documentation created:</w:t>
      </w:r>
      <w:r>
        <w:t xml:space="preserve"> </w:t>
      </w:r>
      <w:r>
        <w:rPr>
          <w:rStyle w:val="VerbatimChar"/>
        </w:rPr>
        <w:t xml:space="preserve">26SP_Platform_Project_Matrix.md</w:t>
      </w:r>
    </w:p>
    <w:p>
      <w:pPr>
        <w:pStyle w:val="BodyText"/>
      </w:pPr>
      <w:r>
        <w:t xml:space="preserve">Milestones do more than mark time — they convert vague expectations into specific commitments. Industry project management converges on the principle that milestones must define</w:t>
      </w:r>
      <w:r>
        <w:t xml:space="preserve"> </w:t>
      </w:r>
      <w:r>
        <w:t xml:space="preserve">“</w:t>
      </w:r>
      <w:r>
        <w:t xml:space="preserve">what</w:t>
      </w:r>
      <w:r>
        <w:t xml:space="preserve"> </w:t>
      </w:r>
      <w:r>
        <w:t xml:space="preserve">‘</w:t>
      </w:r>
      <w:r>
        <w:t xml:space="preserve">done</w:t>
      </w:r>
      <w:r>
        <w:t xml:space="preserve">’</w:t>
      </w:r>
      <w:r>
        <w:t xml:space="preserve"> </w:t>
      </w:r>
      <w:r>
        <w:t xml:space="preserve">looks like at various intervals</w:t>
      </w:r>
      <w:r>
        <w:t xml:space="preserve">”</w:t>
      </w:r>
      <w:r>
        <w:t xml:space="preserve"> </w:t>
      </w:r>
      <w:r>
        <w:t xml:space="preserve">to shift teams from activity-based to outcome-based execution. In interdisciplinary student teams, this distinction is particularly consequential: activity is easy to perform and easy to confuse with progress. Milestones prevent that confusion.</w:t>
      </w:r>
    </w:p>
    <w:p>
      <w:pPr>
        <w:pStyle w:val="BodyText"/>
      </w:pPr>
      <w:r>
        <w:rPr>
          <w:bCs/>
          <w:b/>
        </w:rPr>
        <w:t xml:space="preserve">Touchpoint 1: Creative Brief Exchange</w:t>
      </w:r>
      <w:r>
        <w:t xml:space="preserve"> </w:t>
      </w:r>
      <w:r>
        <w:t xml:space="preserve">— End of Sprint 0</w:t>
      </w:r>
    </w:p>
    <w:p>
      <w:pPr>
        <w:pStyle w:val="BodyText"/>
      </w:pPr>
      <w:r>
        <w:t xml:space="preserve">Both parties have committed deliverables: CS submits product and technical briefs; GRD submits concept questions. The assessment criterion at this stage is brief completeness and clarity. The outcome is a shared, documented understanding of project vision and constraints — replacing the assumption of alignment with evidence of it.</w:t>
      </w:r>
    </w:p>
    <w:p>
      <w:pPr>
        <w:pStyle w:val="BodyText"/>
      </w:pPr>
      <w:r>
        <w:rPr>
          <w:bCs/>
          <w:b/>
        </w:rPr>
        <w:t xml:space="preserve">Touchpoint 2: Concept Review and Iteration</w:t>
      </w:r>
      <w:r>
        <w:t xml:space="preserve"> </w:t>
      </w:r>
      <w:r>
        <w:t xml:space="preserve">— Sprint 1, Weeks 1–2</w:t>
      </w:r>
    </w:p>
    <w:p>
      <w:pPr>
        <w:pStyle w:val="BodyText"/>
      </w:pPr>
      <w:r>
        <w:t xml:space="preserve">GRD presents initial mockups. CS provides integration feedback and technical feasibility assessment. A joint design critique establishes approved direction. The assessment criterion at this stage is communication quality and iteration responsiveness — capturing the collaboration behavior, not just the artifact. The outcome is an approved design direction with technical validation on record.</w:t>
      </w:r>
    </w:p>
    <w:p>
      <w:pPr>
        <w:pStyle w:val="BodyText"/>
      </w:pPr>
      <w:r>
        <w:rPr>
          <w:bCs/>
          <w:b/>
        </w:rPr>
        <w:t xml:space="preserve">Touchpoint 3: Asset Delivery and Integration</w:t>
      </w:r>
      <w:r>
        <w:t xml:space="preserve"> </w:t>
      </w:r>
      <w:r>
        <w:t xml:space="preserve">— Sprint 1, Weeks 3–4</w:t>
      </w:r>
    </w:p>
    <w:p>
      <w:pPr>
        <w:pStyle w:val="BodyText"/>
      </w:pPr>
      <w:r>
        <w:t xml:space="preserve">GRD delivers production-ready assets to specification. CS integrates them into a working application. Both parties co-present at the Graduate Showcase. Assessment criteria at this stage include technical integration success and design implementation fidelity — measuring whether the collaboration produced a coherent whole rather than two well-executed halves that don’t quite fit together.</w:t>
      </w:r>
    </w:p>
    <w:p>
      <w:pPr>
        <w:pStyle w:val="BodyText"/>
      </w:pPr>
      <w:r>
        <w:rPr>
          <w:bCs/>
          <w:b/>
        </w:rPr>
        <w:t xml:space="preserve">Integration with Scrum ceremonies:</w:t>
      </w:r>
      <w:r>
        <w:t xml:space="preserve"> </w:t>
      </w:r>
      <w:r>
        <w:t xml:space="preserve">Design students participated in daily async standups, Sprint 1 planning, the Graduate Showcase Sprint Review, and a cross-departmental retrospective. This is the same ceremony structure Mahnič documented in his longitudinal Scrum capstone study (</w:t>
      </w:r>
      <w:r>
        <w:rPr>
          <w:bCs/>
          <w:b/>
        </w:rPr>
        <w:t xml:space="preserve">“</w:t>
      </w:r>
      <w:r>
        <w:rPr>
          <w:bCs/>
          <w:b/>
        </w:rPr>
        <w:t xml:space="preserve">A Capstone Course on Agile Software Development Using Scrum,</w:t>
      </w:r>
      <w:r>
        <w:rPr>
          <w:bCs/>
          <w:b/>
        </w:rPr>
        <w:t xml:space="preserve">”</w:t>
      </w:r>
      <w:r>
        <w:t xml:space="preserve"> </w:t>
      </w:r>
      <w:r>
        <w:rPr>
          <w:iCs/>
          <w:i/>
        </w:rPr>
        <w:t xml:space="preserve">IEEE Transactions on Education</w:t>
      </w:r>
      <w:r>
        <w:t xml:space="preserve">, 2012), which found that these ceremonies produced</w:t>
      </w:r>
      <w:r>
        <w:t xml:space="preserve"> </w:t>
      </w:r>
      <w:r>
        <w:t xml:space="preserve">“</w:t>
      </w:r>
      <w:r>
        <w:t xml:space="preserve">overwhelmingly positive</w:t>
      </w:r>
      <w:r>
        <w:t xml:space="preserve">”</w:t>
      </w:r>
      <w:r>
        <w:t xml:space="preserve"> </w:t>
      </w:r>
      <w:r>
        <w:t xml:space="preserve">student outcomes with measurable improvements in planning and estimation — outcomes students explicitly linked to their employability.</w:t>
      </w:r>
    </w:p>
    <w:p>
      <w:r>
        <w:pict>
          <v:rect style="width:0;height:1.5pt" o:hralign="center" o:hrstd="t" o:hr="t"/>
        </w:pict>
      </w:r>
    </w:p>
    <w:bookmarkEnd w:id="25"/>
    <w:bookmarkStart w:id="26" w:name="deliverable-3-collaboration-rubrics"/>
    <w:p>
      <w:pPr>
        <w:pStyle w:val="Heading3"/>
      </w:pPr>
      <w:r>
        <w:t xml:space="preserve">Deliverable 3: Collaboration Rubrics</w:t>
      </w:r>
    </w:p>
    <w:p>
      <w:pPr>
        <w:pStyle w:val="FirstParagraph"/>
      </w:pPr>
      <w:r>
        <w:rPr>
          <w:bCs/>
          <w:b/>
        </w:rPr>
        <w:t xml:space="preserve">Documentation created:</w:t>
      </w:r>
      <w:r>
        <w:t xml:space="preserve"> </w:t>
      </w:r>
      <w:r>
        <w:rPr>
          <w:rStyle w:val="VerbatimChar"/>
        </w:rPr>
        <w:t xml:space="preserve">Pitch_Presentation_Rubric.md</w:t>
      </w:r>
    </w:p>
    <w:p>
      <w:pPr>
        <w:pStyle w:val="BodyText"/>
      </w:pPr>
      <w:r>
        <w:t xml:space="preserve">The rubric is where good intentions about collaboration become assessable commitments. The principle underlying the design is straightforward: if collaboration behaviors are not separately measured, they are not taught. Students learn to optimize for what gets scored. A rubric that only evaluates individual deliverable quality is, functionally, a rubric that treats collaboration as optional.</w:t>
      </w:r>
    </w:p>
    <w:p>
      <w:pPr>
        <w:pStyle w:val="BodyText"/>
      </w:pPr>
      <w:r>
        <w:t xml:space="preserve">The research supports this design choice. The</w:t>
      </w:r>
      <w:r>
        <w:t xml:space="preserve"> </w:t>
      </w:r>
      <w:r>
        <w:rPr>
          <w:bCs/>
          <w:b/>
        </w:rPr>
        <w:t xml:space="preserve">Interprofessional Collaborator Assessment Rubric</w:t>
      </w:r>
      <w:r>
        <w:t xml:space="preserve"> </w:t>
      </w:r>
      <w:r>
        <w:t xml:space="preserve">(Curran et al., grounded in the WHO 2010</w:t>
      </w:r>
      <w:r>
        <w:t xml:space="preserve"> </w:t>
      </w:r>
      <w:r>
        <w:rPr>
          <w:iCs/>
          <w:i/>
        </w:rPr>
        <w:t xml:space="preserve">Framework for Action on Interprofessional Education &amp; Collaborative Practice</w:t>
      </w:r>
      <w:r>
        <w:t xml:space="preserve">) is the most-cited validated instrument of this type, and its architecture — assessing collaboration as a competency in its own right — is directly applicable here. A 2024 meta-analysis by Panadero et al. (</w:t>
      </w:r>
      <w:r>
        <w:rPr>
          <w:iCs/>
          <w:i/>
        </w:rPr>
        <w:t xml:space="preserve">Educational Psychology Review</w:t>
      </w:r>
      <w:r>
        <w:t xml:space="preserve">) found a moderate positive effect (g = 0.45) of rubric use on academic performance, with the effect strongest when criteria are explicit and distributed in advance.</w:t>
      </w:r>
    </w:p>
    <w:p>
      <w:pPr>
        <w:pStyle w:val="BodyText"/>
      </w:pPr>
      <w:r>
        <w:rPr>
          <w:bCs/>
          <w:b/>
        </w:rPr>
        <w:t xml:space="preserve">Rubric structure:</w:t>
      </w:r>
    </w:p>
    <w:tbl>
      <w:tblPr>
        <w:tblStyle w:val="Table"/>
        <w:tblW w:type="pct" w:w="5000"/>
        <w:tblLook w:firstRow="1" w:lastRow="0" w:firstColumn="0" w:lastColumn="0" w:noHBand="0" w:noVBand="0" w:val="0020"/>
        <w:jc w:val="start"/>
      </w:tblPr>
      <w:tblGrid>
        <w:gridCol w:w="1702"/>
        <w:gridCol w:w="444"/>
        <w:gridCol w:w="5773"/>
      </w:tblGrid>
      <w:tr>
        <w:trPr>
          <w:tblHeader w:val="true"/>
        </w:trPr>
        <w:tc>
          <w:tcPr/>
          <w:p>
            <w:pPr>
              <w:pStyle w:val="Compact"/>
              <w:jc w:val="left"/>
            </w:pPr>
            <w:r>
              <w:t xml:space="preserve">Category</w:t>
            </w:r>
          </w:p>
        </w:tc>
        <w:tc>
          <w:tcPr/>
          <w:p>
            <w:pPr>
              <w:pStyle w:val="Compact"/>
              <w:jc w:val="left"/>
            </w:pPr>
            <w:r>
              <w:t xml:space="preserve">Points</w:t>
            </w:r>
          </w:p>
        </w:tc>
        <w:tc>
          <w:tcPr/>
          <w:p>
            <w:pPr>
              <w:pStyle w:val="Compact"/>
              <w:jc w:val="left"/>
            </w:pPr>
            <w:r>
              <w:t xml:space="preserve">What It Measures</w:t>
            </w:r>
          </w:p>
        </w:tc>
      </w:tr>
      <w:tr>
        <w:tc>
          <w:tcPr/>
          <w:p>
            <w:pPr>
              <w:pStyle w:val="Compact"/>
              <w:jc w:val="left"/>
            </w:pPr>
            <w:r>
              <w:t xml:space="preserve">Communication Quality</w:t>
            </w:r>
          </w:p>
        </w:tc>
        <w:tc>
          <w:tcPr/>
          <w:p>
            <w:pPr>
              <w:pStyle w:val="Compact"/>
              <w:jc w:val="left"/>
            </w:pPr>
            <w:r>
              <w:t xml:space="preserve">20</w:t>
            </w:r>
          </w:p>
        </w:tc>
        <w:tc>
          <w:tcPr/>
          <w:p>
            <w:pPr>
              <w:pStyle w:val="Compact"/>
              <w:jc w:val="left"/>
            </w:pPr>
            <w:r>
              <w:t xml:space="preserve">Clarity of briefs, responsiveness, professionalism, documentation completeness</w:t>
            </w:r>
          </w:p>
        </w:tc>
      </w:tr>
      <w:tr>
        <w:tc>
          <w:tcPr/>
          <w:p>
            <w:pPr>
              <w:pStyle w:val="Compact"/>
              <w:jc w:val="left"/>
            </w:pPr>
            <w:r>
              <w:t xml:space="preserve">Deliverable Integration</w:t>
            </w:r>
          </w:p>
        </w:tc>
        <w:tc>
          <w:tcPr/>
          <w:p>
            <w:pPr>
              <w:pStyle w:val="Compact"/>
              <w:jc w:val="left"/>
            </w:pPr>
            <w:r>
              <w:t xml:space="preserve">25</w:t>
            </w:r>
          </w:p>
        </w:tc>
        <w:tc>
          <w:tcPr/>
          <w:p>
            <w:pPr>
              <w:pStyle w:val="Compact"/>
              <w:jc w:val="left"/>
            </w:pPr>
            <w:r>
              <w:t xml:space="preserve">Technical spec adherence, asset quality, integration success, fidelity</w:t>
            </w:r>
          </w:p>
        </w:tc>
      </w:tr>
      <w:tr>
        <w:tc>
          <w:tcPr/>
          <w:p>
            <w:pPr>
              <w:pStyle w:val="Compact"/>
              <w:jc w:val="left"/>
            </w:pPr>
            <w:r>
              <w:t xml:space="preserve">Collaboration Process</w:t>
            </w:r>
          </w:p>
        </w:tc>
        <w:tc>
          <w:tcPr/>
          <w:p>
            <w:pPr>
              <w:pStyle w:val="Compact"/>
              <w:jc w:val="left"/>
            </w:pPr>
            <w:r>
              <w:t xml:space="preserve">20</w:t>
            </w:r>
          </w:p>
        </w:tc>
        <w:tc>
          <w:tcPr/>
          <w:p>
            <w:pPr>
              <w:pStyle w:val="Compact"/>
              <w:jc w:val="left"/>
            </w:pPr>
            <w:r>
              <w:t xml:space="preserve">Milestone adherence, iteration responsiveness, problem-solving approach</w:t>
            </w:r>
          </w:p>
        </w:tc>
      </w:tr>
      <w:tr>
        <w:tc>
          <w:tcPr/>
          <w:p>
            <w:pPr>
              <w:pStyle w:val="Compact"/>
              <w:jc w:val="left"/>
            </w:pPr>
            <w:r>
              <w:t xml:space="preserve">Final Product Quality</w:t>
            </w:r>
          </w:p>
        </w:tc>
        <w:tc>
          <w:tcPr/>
          <w:p>
            <w:pPr>
              <w:pStyle w:val="Compact"/>
              <w:jc w:val="left"/>
            </w:pPr>
            <w:r>
              <w:t xml:space="preserve">35</w:t>
            </w:r>
          </w:p>
        </w:tc>
        <w:tc>
          <w:tcPr/>
          <w:p>
            <w:pPr>
              <w:pStyle w:val="Compact"/>
              <w:jc w:val="left"/>
            </w:pPr>
            <w:r>
              <w:t xml:space="preserve">UX enhancement, professional polish, technical implementation, completeness</w:t>
            </w:r>
          </w:p>
        </w:tc>
      </w:tr>
    </w:tbl>
    <w:p>
      <w:pPr>
        <w:pStyle w:val="BodyText"/>
      </w:pPr>
      <w:r>
        <w:t xml:space="preserve">This three-axis structure — individual craft, collaboration behaviors, integration quality — directly addresses the dominant failure mode of group projects in higher education: one student absorbs the load while others contribute minimally. When collaboration behaviors carry 20 points and are assessed against concrete criteria (Was the brief complete? Were questions responded to within the milestone window? Did the team adapt when problems arose?), there is no longer a grade structure that rewards passengers.</w:t>
      </w:r>
    </w:p>
    <w:p>
      <w:r>
        <w:pict>
          <v:rect style="width:0;height:1.5pt" o:hralign="center" o:hrstd="t" o:hr="t"/>
        </w:pict>
      </w:r>
    </w:p>
    <w:bookmarkEnd w:id="26"/>
    <w:bookmarkEnd w:id="27"/>
    <w:bookmarkStart w:id="28" w:name="results-graduate-showcase-may-2026"/>
    <w:p>
      <w:pPr>
        <w:pStyle w:val="Heading2"/>
      </w:pPr>
      <w:r>
        <w:t xml:space="preserve">Results: Graduate Showcase, May 2026</w:t>
      </w:r>
    </w:p>
    <w:p>
      <w:pPr>
        <w:pStyle w:val="FirstParagraph"/>
      </w:pPr>
      <w:r>
        <w:rPr>
          <w:bCs/>
          <w:b/>
        </w:rPr>
        <w:t xml:space="preserve">Quantitative outcomes:</w:t>
      </w:r>
    </w:p>
    <w:p>
      <w:pPr>
        <w:numPr>
          <w:ilvl w:val="0"/>
          <w:numId w:val="1005"/>
        </w:numPr>
        <w:pStyle w:val="Compact"/>
      </w:pPr>
      <w:r>
        <w:t xml:space="preserve">5 CS capstone teams paired with GRD students across the full semester [SOURCE NEEDED: course roster / pairing assignment list]</w:t>
      </w:r>
    </w:p>
    <w:p>
      <w:pPr>
        <w:numPr>
          <w:ilvl w:val="0"/>
          <w:numId w:val="1005"/>
        </w:numPr>
        <w:pStyle w:val="Compact"/>
      </w:pPr>
      <w:r>
        <w:t xml:space="preserve">5 completed projects with integrated, professional-quality design assets [SOURCE NEEDED: Graduate Showcase project list]</w:t>
      </w:r>
    </w:p>
    <w:p>
      <w:pPr>
        <w:numPr>
          <w:ilvl w:val="0"/>
          <w:numId w:val="1005"/>
        </w:numPr>
        <w:pStyle w:val="Compact"/>
      </w:pPr>
      <w:r>
        <w:t xml:space="preserve">100% milestone completion across all five pairings [SOURCE NEEDED: milestone tracking log]</w:t>
      </w:r>
    </w:p>
    <w:p>
      <w:pPr>
        <w:numPr>
          <w:ilvl w:val="0"/>
          <w:numId w:val="1005"/>
        </w:numPr>
        <w:pStyle w:val="Compact"/>
      </w:pPr>
      <w:r>
        <w:t xml:space="preserve">Average collaboration rubric score:</w:t>
      </w:r>
      <w:r>
        <w:t xml:space="preserve"> </w:t>
      </w:r>
      <w:r>
        <w:rPr>
          <w:bCs/>
          <w:b/>
        </w:rPr>
        <w:t xml:space="preserve">87/100</w:t>
      </w:r>
      <w:r>
        <w:t xml:space="preserve"> </w:t>
      </w:r>
      <w:r>
        <w:t xml:space="preserve">[SOURCE NEEDED: graded rubric files / gradebook export]</w:t>
      </w:r>
    </w:p>
    <w:p>
      <w:pPr>
        <w:pStyle w:val="FirstParagraph"/>
      </w:pPr>
      <w:r>
        <w:rPr>
          <w:bCs/>
          <w:b/>
        </w:rPr>
        <w:t xml:space="preserve">Qualitative outcomes (instructor observation unless otherwise sourced):</w:t>
      </w:r>
    </w:p>
    <w:p>
      <w:pPr>
        <w:numPr>
          <w:ilvl w:val="0"/>
          <w:numId w:val="1006"/>
        </w:numPr>
        <w:pStyle w:val="Compact"/>
      </w:pPr>
      <w:r>
        <w:t xml:space="preserve">CS teams reported that design integration substantially improved perceived project quality [SOURCE NEEDED: survey/retro/exit-ticket]</w:t>
      </w:r>
    </w:p>
    <w:p>
      <w:pPr>
        <w:numPr>
          <w:ilvl w:val="0"/>
          <w:numId w:val="1006"/>
        </w:numPr>
        <w:pStyle w:val="Compact"/>
      </w:pPr>
      <w:r>
        <w:t xml:space="preserve">GRD students reported meaningful gains in understanding technical constraints and iterative feedback processes [SOURCE NEEDED: survey/retro/exit-ticket]</w:t>
      </w:r>
    </w:p>
    <w:p>
      <w:pPr>
        <w:numPr>
          <w:ilvl w:val="0"/>
          <w:numId w:val="1006"/>
        </w:numPr>
        <w:pStyle w:val="Compact"/>
      </w:pPr>
      <w:r>
        <w:t xml:space="preserve">Both cohorts identified the formal handoff structure as the element most responsible for reducing last-minute communication crises [SOURCE NEEDED: survey/retro/exit-ticket]</w:t>
      </w:r>
    </w:p>
    <w:p>
      <w:pPr>
        <w:numPr>
          <w:ilvl w:val="0"/>
          <w:numId w:val="1006"/>
        </w:numPr>
        <w:pStyle w:val="Compact"/>
      </w:pPr>
      <w:r>
        <w:t xml:space="preserve">Both departments expressed interest in continuing the protocol for subsequent terms [SOURCE NEEDED: faculty correspondence / meeting notes]</w:t>
      </w:r>
    </w:p>
    <w:p>
      <w:pPr>
        <w:pStyle w:val="FirstParagraph"/>
      </w:pPr>
      <w:r>
        <w:rPr>
          <w:bCs/>
          <w:b/>
        </w:rPr>
        <w:t xml:space="preserve">What the Graduate Showcase demonstrated to external stakeholders:</w:t>
      </w:r>
      <w:r>
        <w:t xml:space="preserve"> </w:t>
      </w:r>
      <w:r>
        <w:t xml:space="preserve">Faculty, industry partners, and fellow students encountered polished, professionally integrated web applications — not student prototypes that looked like student prototypes. That visible quality gap between AlgoCratic Futures projects and typical capstone output is the observable return on the structural investment described above.</w:t>
      </w:r>
    </w:p>
    <w:p>
      <w:r>
        <w:pict>
          <v:rect style="width:0;height:1.5pt" o:hralign="center" o:hrstd="t" o:hr="t"/>
        </w:pict>
      </w:r>
    </w:p>
    <w:bookmarkEnd w:id="28"/>
    <w:bookmarkStart w:id="29" w:name="availability-for-future-use"/>
    <w:p>
      <w:pPr>
        <w:pStyle w:val="Heading2"/>
      </w:pPr>
      <w:r>
        <w:t xml:space="preserve">Availability for Future Use</w:t>
      </w:r>
    </w:p>
    <w:p>
      <w:pPr>
        <w:pStyle w:val="FirstParagraph"/>
      </w:pPr>
      <w:r>
        <w:t xml:space="preserve">The protocol documents (</w:t>
      </w:r>
      <w:r>
        <w:rPr>
          <w:rStyle w:val="VerbatimChar"/>
        </w:rPr>
        <w:t xml:space="preserve">26SP_Cross_Discipline_Protocol.md</w:t>
      </w:r>
      <w:r>
        <w:t xml:space="preserve">,</w:t>
      </w:r>
      <w:r>
        <w:t xml:space="preserve"> </w:t>
      </w:r>
      <w:r>
        <w:rPr>
          <w:rStyle w:val="VerbatimChar"/>
        </w:rPr>
        <w:t xml:space="preserve">26SP_Platform_Project_Matrix.md</w:t>
      </w:r>
      <w:r>
        <w:t xml:space="preserve">,</w:t>
      </w:r>
      <w:r>
        <w:t xml:space="preserve"> </w:t>
      </w:r>
      <w:r>
        <w:rPr>
          <w:rStyle w:val="VerbatimChar"/>
        </w:rPr>
        <w:t xml:space="preserve">Pitch_Presentation_Rubric.md</w:t>
      </w:r>
      <w:r>
        <w:t xml:space="preserve">) are checked in and available on request to any other faculty who want to try this approach or adapt it for a different course pairing.</w:t>
      </w:r>
    </w:p>
    <w:p>
      <w:r>
        <w:pict>
          <v:rect style="width:0;height:1.5pt" o:hralign="center" o:hrstd="t" o:hr="t"/>
        </w:pict>
      </w:r>
    </w:p>
    <w:bookmarkEnd w:id="29"/>
    <w:bookmarkStart w:id="30" w:name="X04a6e19a05756ec4a8152f6b11d1cbdbf865a11"/>
    <w:p>
      <w:pPr>
        <w:pStyle w:val="Heading2"/>
      </w:pPr>
      <w:r>
        <w:t xml:space="preserve">Career Readiness in the Language Employers Use</w:t>
      </w:r>
    </w:p>
    <w:p>
      <w:pPr>
        <w:pStyle w:val="FirstParagraph"/>
      </w:pPr>
      <w:r>
        <w:t xml:space="preserve">The NACE Career Readiness framework identifies eight core competencies employers expect from new graduates. The framework developed here directly develops four:</w:t>
      </w:r>
      <w:r>
        <w:t xml:space="preserve"> </w:t>
      </w:r>
      <w:r>
        <w:rPr>
          <w:bCs/>
          <w:b/>
        </w:rPr>
        <w:t xml:space="preserve">Teamwork/Collaboration</w:t>
      </w:r>
      <w:r>
        <w:t xml:space="preserve">,</w:t>
      </w:r>
      <w:r>
        <w:t xml:space="preserve"> </w:t>
      </w:r>
      <w:r>
        <w:rPr>
          <w:bCs/>
          <w:b/>
        </w:rPr>
        <w:t xml:space="preserve">Professionalism/Work Ethic</w:t>
      </w:r>
      <w:r>
        <w:t xml:space="preserve">,</w:t>
      </w:r>
      <w:r>
        <w:t xml:space="preserve"> </w:t>
      </w:r>
      <w:r>
        <w:rPr>
          <w:bCs/>
          <w:b/>
        </w:rPr>
        <w:t xml:space="preserve">Critical Thinking/Problem Solving</w:t>
      </w:r>
      <w:r>
        <w:t xml:space="preserve">, and</w:t>
      </w:r>
      <w:r>
        <w:t xml:space="preserve"> </w:t>
      </w:r>
      <w:r>
        <w:rPr>
          <w:bCs/>
          <w:b/>
        </w:rPr>
        <w:t xml:space="preserve">Communication</w:t>
      </w:r>
      <w:r>
        <w:t xml:space="preserve"> </w:t>
      </w:r>
      <w:r>
        <w:t xml:space="preserve">— the four in which the NACE 2024 Student Survey vs. Job Outlook 2025 comparison reveals the largest perception gaps between student self-assessment and employer rating. Students routinely overestimate their proficiency in these areas because they have never been assessed against them with specificity.</w:t>
      </w:r>
    </w:p>
    <w:p>
      <w:pPr>
        <w:pStyle w:val="BodyText"/>
      </w:pPr>
      <w:r>
        <w:t xml:space="preserve">What this capstone framework does, structurally, is close that gap before graduation rather than after it. When students leave FTCC having written a formal brief, delivered it on a milestone schedule, received structured feedback from an external collaborator, integrated that feedback into a working product, and had their collaboration behaviors scored against explicit criteria — they have done the work. That is what the rubric measures. That is what the Graduate Showcase makes visible.</w:t>
      </w:r>
    </w:p>
    <w:p>
      <w:r>
        <w:pict>
          <v:rect style="width:0;height:1.5pt" o:hralign="center" o:hrstd="t" o:hr="t"/>
        </w:pict>
      </w:r>
    </w:p>
    <w:bookmarkEnd w:id="30"/>
    <w:bookmarkStart w:id="31" w:name="conclusion"/>
    <w:p>
      <w:pPr>
        <w:pStyle w:val="Heading2"/>
      </w:pPr>
      <w:r>
        <w:t xml:space="preserve">Conclusion</w:t>
      </w:r>
    </w:p>
    <w:p>
      <w:pPr>
        <w:pStyle w:val="FirstParagraph"/>
      </w:pPr>
      <w:r>
        <w:rPr>
          <w:bCs/>
          <w:b/>
        </w:rPr>
        <w:t xml:space="preserve">Original objective:</w:t>
      </w:r>
      <w:r>
        <w:t xml:space="preserve"> </w:t>
      </w:r>
      <w:r>
        <w:t xml:space="preserve">Document the Creative Brief process, establish three formal touchpoints, and create collaboration rubrics.</w:t>
      </w:r>
    </w:p>
    <w:p>
      <w:pPr>
        <w:pStyle w:val="BodyText"/>
      </w:pPr>
      <w:r>
        <w:rPr>
          <w:bCs/>
          <w:b/>
        </w:rPr>
        <w:t xml:space="preserve">What was delivered:</w:t>
      </w:r>
    </w:p>
    <w:p>
      <w:pPr>
        <w:numPr>
          <w:ilvl w:val="0"/>
          <w:numId w:val="1007"/>
        </w:numPr>
        <w:pStyle w:val="Compact"/>
      </w:pPr>
      <w:r>
        <w:t xml:space="preserve">The Creative Brief process is documented (</w:t>
      </w:r>
      <w:r>
        <w:rPr>
          <w:rStyle w:val="VerbatimChar"/>
        </w:rPr>
        <w:t xml:space="preserve">26SP_Cross_Discipline_Protocol.md</w:t>
      </w:r>
      <w:r>
        <w:t xml:space="preserve">).</w:t>
      </w:r>
    </w:p>
    <w:p>
      <w:pPr>
        <w:numPr>
          <w:ilvl w:val="0"/>
          <w:numId w:val="1007"/>
        </w:numPr>
        <w:pStyle w:val="Compact"/>
      </w:pPr>
      <w:r>
        <w:t xml:space="preserve">Three formal touchpoints are in place and were used across all five pairings this term.</w:t>
      </w:r>
    </w:p>
    <w:p>
      <w:pPr>
        <w:numPr>
          <w:ilvl w:val="0"/>
          <w:numId w:val="1007"/>
        </w:numPr>
        <w:pStyle w:val="Compact"/>
      </w:pPr>
      <w:r>
        <w:t xml:space="preserve">The collaboration rubric is written and was used to grade the Spring 2026 cohort.</w:t>
      </w:r>
    </w:p>
    <w:p>
      <w:pPr>
        <w:pStyle w:val="FirstParagraph"/>
      </w:pPr>
      <w:r>
        <w:t xml:space="preserve">The protocol documents and the rubric are checked in and available on request to any other faculty who want to try the approach or adapt it for a different course pairing.</w:t>
      </w:r>
    </w:p>
    <w:p>
      <w:pPr>
        <w:pStyle w:val="BodyText"/>
      </w:pPr>
      <w:r>
        <w:rPr>
          <w:bCs/>
          <w:b/>
        </w:rPr>
        <w:t xml:space="preserve">Assessment:</w:t>
      </w:r>
      <w:r>
        <w:t xml:space="preserve"> </w:t>
      </w:r>
      <w:r>
        <w:t xml:space="preserve">Objective met.</w:t>
      </w:r>
    </w:p>
    <w:p>
      <w:r>
        <w:pict>
          <v:rect style="width:0;height:1.5pt" o:hralign="center" o:hrstd="t" o:hr="t"/>
        </w:pict>
      </w:r>
    </w:p>
    <w:p>
      <w:pPr>
        <w:pStyle w:val="FirstParagraph"/>
      </w:pPr>
      <w:r>
        <w:rPr>
          <w:iCs/>
          <w:i/>
        </w:rPr>
        <w:t xml:space="preserve">Full research evidence base, citations, and source details: see Appendix —</w:t>
      </w:r>
      <w:r>
        <w:rPr>
          <w:iCs/>
          <w:i/>
        </w:rPr>
        <w:t xml:space="preserve"> </w:t>
      </w:r>
      <w:r>
        <w:rPr>
          <w:iCs/>
          <w:i/>
        </w:rPr>
        <w:t xml:space="preserve">“</w:t>
      </w:r>
      <w:r>
        <w:rPr>
          <w:iCs/>
          <w:i/>
        </w:rPr>
        <w:t xml:space="preserve">Evidence Base for a CS / Graphic Design Cross-Departmental Capstone Framework.</w:t>
      </w:r>
      <w:r>
        <w:rPr>
          <w:iCs/>
          <w:i/>
        </w:rPr>
        <w:t xml:space="preserve">”</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2026-08-02T12:25:54Z</dcterms:created>
  <dcterms:modified xsi:type="dcterms:W3CDTF">2026-08-02T12:25:54Z</dcterms:modified>
</cp:coreProperties>
</file>

<file path=docProps/custom.xml><?xml version="1.0" encoding="utf-8"?>
<Properties xmlns="http://schemas.openxmlformats.org/officeDocument/2006/custom-properties" xmlns:vt="http://schemas.openxmlformats.org/officeDocument/2006/docPropsVTypes"/>
</file>