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6033da6e6e6ab42af6aa23972fd6adf8c7bac7"/>
    <w:p>
      <w:pPr>
        <w:pStyle w:val="Heading1"/>
      </w:pPr>
      <w:r>
        <w:t xml:space="preserve">Objective 2: Source Control &amp; Version Control (SCVC) Instructional Modules</w:t>
      </w:r>
    </w:p>
    <w:p>
      <w:pPr>
        <w:pStyle w:val="FirstParagraph"/>
      </w:pPr>
      <w:r>
        <w:rPr>
          <w:bCs/>
          <w:b/>
        </w:rPr>
        <w:t xml:space="preserve">Instructor:</w:t>
      </w:r>
      <w:r>
        <w:t xml:space="preserve"> </w:t>
      </w:r>
      <w:r>
        <w:t xml:space="preserve">[REDACTED]</w:t>
      </w:r>
      <w:r>
        <w:t xml:space="preserve"> </w:t>
      </w:r>
      <w:r>
        <w:rPr>
          <w:bCs/>
          <w:b/>
        </w:rPr>
        <w:t xml:space="preserve">Course(s):</w:t>
      </w:r>
      <w:r>
        <w:t xml:space="preserve"> </w:t>
      </w:r>
      <w:r>
        <w:t xml:space="preserve">CSC 289 (Software Development Capstone), CTS 285 (Web Application Development)</w:t>
      </w:r>
      <w:r>
        <w:t xml:space="preserve"> </w:t>
      </w:r>
      <w:r>
        <w:rPr>
          <w:bCs/>
          <w:b/>
        </w:rPr>
        <w:t xml:space="preserve">Evaluation Period:</w:t>
      </w:r>
      <w:r>
        <w:t xml:space="preserve"> </w:t>
      </w:r>
      <w:r>
        <w:t xml:space="preserve">Spring 2026</w:t>
      </w:r>
      <w:r>
        <w:t xml:space="preserve"> </w:t>
      </w:r>
      <w:r>
        <w:rPr>
          <w:bCs/>
          <w:b/>
        </w:rPr>
        <w:t xml:space="preserve">Objective Status:</w:t>
      </w:r>
      <w:r>
        <w:t xml:space="preserve"> </w:t>
      </w:r>
      <w:r>
        <w:t xml:space="preserve">Achieved and exceeded.</w:t>
      </w:r>
    </w:p>
    <w:p>
      <w:r>
        <w:pict>
          <v:rect style="width:0;height:1.5pt" o:hralign="center" o:hrstd="t" o:hr="t"/>
        </w:pict>
      </w:r>
    </w:p>
    <w:bookmarkStart w:id="20" w:name="objective-statement"/>
    <w:p>
      <w:pPr>
        <w:pStyle w:val="Heading2"/>
      </w:pPr>
      <w:r>
        <w:t xml:space="preserve">Objective Statement</w:t>
      </w:r>
    </w:p>
    <w:p>
      <w:pPr>
        <w:pStyle w:val="FirstParagraph"/>
      </w:pPr>
      <w:r>
        <w:rPr>
          <w:bCs/>
          <w:b/>
        </w:rPr>
        <w:t xml:space="preserve">Original objective (verbatim):</w:t>
      </w:r>
      <w:r>
        <w:t xml:space="preserve"> </w:t>
      </w:r>
      <w:r>
        <w:t xml:space="preserve">“</w:t>
      </w:r>
      <w:r>
        <w:t xml:space="preserve">Four assignments covering the topic</w:t>
      </w:r>
      <w:r>
        <w:t xml:space="preserve"> </w:t>
      </w:r>
      <w:r>
        <w:t xml:space="preserve">‘</w:t>
      </w:r>
      <w:r>
        <w:t xml:space="preserve">GitHub collaboration and version control with your team</w:t>
      </w:r>
      <w:r>
        <w:t xml:space="preserve">’</w:t>
      </w:r>
      <w:r>
        <w:t xml:space="preserve">. (The assignments were delivered, but were disguised as portions of a game.)</w:t>
      </w:r>
      <w:r>
        <w:t xml:space="preserve">”</w:t>
      </w:r>
    </w:p>
    <w:p>
      <w:pPr>
        <w:pStyle w:val="BodyText"/>
      </w:pPr>
      <w:r>
        <w:rPr>
          <w:bCs/>
          <w:b/>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Cs/>
          <w:b/>
        </w:rPr>
        <w:t xml:space="preserve">Stated Requirements:</w:t>
      </w:r>
    </w:p>
    <w:p>
      <w:pPr>
        <w:numPr>
          <w:ilvl w:val="0"/>
          <w:numId w:val="1001"/>
        </w:numPr>
        <w:pStyle w:val="Compact"/>
      </w:pPr>
      <w:r>
        <w:t xml:space="preserve">Develop 1+ assignments on branch and merge strategies</w:t>
      </w:r>
    </w:p>
    <w:p>
      <w:pPr>
        <w:numPr>
          <w:ilvl w:val="0"/>
          <w:numId w:val="1001"/>
        </w:numPr>
        <w:pStyle w:val="Compact"/>
      </w:pPr>
      <w:r>
        <w:t xml:space="preserve">Create and implement a self/peer review framework for code quality</w:t>
      </w:r>
    </w:p>
    <w:p>
      <w:pPr>
        <w:numPr>
          <w:ilvl w:val="0"/>
          <w:numId w:val="1001"/>
        </w:numPr>
        <w:pStyle w:val="Compact"/>
      </w:pPr>
      <w:r>
        <w:t xml:space="preserve">Integrate issue tracking with the development workflow</w:t>
      </w:r>
    </w:p>
    <w:p>
      <w:pPr>
        <w:pStyle w:val="FirstParagraph"/>
      </w:pPr>
      <w:r>
        <w:rPr>
          <w:bCs/>
          <w:b/>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20"/>
    <w:bookmarkStart w:id="23" w:name="the-problem-this-objective-solves"/>
    <w:p>
      <w:pPr>
        <w:pStyle w:val="Heading2"/>
      </w:pPr>
      <w:r>
        <w:t xml:space="preserve">The Problem This Objective Solves</w:t>
      </w:r>
    </w:p>
    <w:bookmarkStart w:id="21"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 Version control workflow (</w:t>
      </w:r>
      <w:r>
        <w:t xml:space="preserve">“</w:t>
      </w:r>
      <w:r>
        <w:t xml:space="preserve">configuration management</w:t>
      </w:r>
      <w:r>
        <w:t xml:space="preserve">”</w:t>
      </w:r>
      <w:r>
        <w:t xml:space="preserve">) is widely cited in the software-engineering-education literature as a persistent gap between what CS graduates arrive knowing and what employers expect, and industry surveys put Git and pull-request-based collaboration at the center of day-to-day professional practice.</w:t>
      </w:r>
      <w:r>
        <w:t xml:space="preserve">[1][2][3]</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21"/>
    <w:bookmarkStart w:id="22"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Cs/>
          <w:i/>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Cs/>
          <w:i/>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22"/>
    <w:bookmarkEnd w:id="23"/>
    <w:bookmarkStart w:id="26" w:name="framework-the-sacred-workflow"/>
    <w:p>
      <w:pPr>
        <w:pStyle w:val="Heading2"/>
      </w:pPr>
      <w:r>
        <w:t xml:space="preserve">Framework: The Sacred Workflow</w:t>
      </w:r>
    </w:p>
    <w:bookmarkStart w:id="24"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Cs/>
          <w:b/>
        </w:rPr>
        <w:t xml:space="preserve">Sacred Workflow</w:t>
      </w:r>
      <w:r>
        <w:t xml:space="preserve"> </w:t>
      </w:r>
      <w:r>
        <w:t xml:space="preserve">— an in-character name for the standard</w:t>
      </w:r>
      <w:r>
        <w:t xml:space="preserve"> </w:t>
      </w:r>
      <w:r>
        <w:rPr>
          <w:rStyle w:val="VerbatimChar"/>
        </w:rPr>
        <w:t xml:space="preserve">Issue → Branch → PR → Review → Merge</w:t>
      </w:r>
      <w:r>
        <w:t xml:space="preserve"> </w:t>
      </w:r>
      <w:r>
        <w:t xml:space="preserve">sequence that professional development teams use every day. Giving the workflow a name, a sequence, and a set of explicit commitments lets students rehearse the same moves they will encounter on the job — opening a draft PR before code is complete, linking commits to issue numbers, conducting a structured peer review before merging — at reduced scale and reduced stakes. When students hit these workflows in their first jobs, they will be continuing a practice they already know rather than encountering it for the first time.</w:t>
      </w:r>
    </w:p>
    <w:bookmarkEnd w:id="24"/>
    <w:bookmarkStart w:id="25"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numPr>
          <w:ilvl w:val="0"/>
          <w:numId w:val="1002"/>
        </w:numPr>
        <w:pStyle w:val="Compact"/>
      </w:pPr>
      <w:r>
        <w:rPr>
          <w:bCs/>
          <w:b/>
        </w:rPr>
        <w:t xml:space="preserve">Create issues before writing code</w:t>
      </w:r>
      <w:r>
        <w:t xml:space="preserve"> </w:t>
      </w:r>
      <w:r>
        <w:t xml:space="preserve">— Work is tracked before it begins</w:t>
      </w:r>
    </w:p>
    <w:p>
      <w:pPr>
        <w:numPr>
          <w:ilvl w:val="0"/>
          <w:numId w:val="1002"/>
        </w:numPr>
        <w:pStyle w:val="Compact"/>
      </w:pPr>
      <w:r>
        <w:rPr>
          <w:bCs/>
          <w:b/>
        </w:rPr>
        <w:t xml:space="preserve">Branch before touching main</w:t>
      </w:r>
      <w:r>
        <w:t xml:space="preserve"> </w:t>
      </w:r>
      <w:r>
        <w:t xml:space="preserve">— No change reaches the integration branch without isolation</w:t>
      </w:r>
    </w:p>
    <w:p>
      <w:pPr>
        <w:numPr>
          <w:ilvl w:val="0"/>
          <w:numId w:val="1002"/>
        </w:numPr>
        <w:pStyle w:val="Compact"/>
      </w:pPr>
      <w:r>
        <w:rPr>
          <w:bCs/>
          <w:b/>
        </w:rPr>
        <w:t xml:space="preserve">Commit early and often</w:t>
      </w:r>
      <w:r>
        <w:t xml:space="preserve"> </w:t>
      </w:r>
      <w:r>
        <w:t xml:space="preserve">— Progress is preserved in small, reversible increments</w:t>
      </w:r>
    </w:p>
    <w:p>
      <w:pPr>
        <w:numPr>
          <w:ilvl w:val="0"/>
          <w:numId w:val="1002"/>
        </w:numPr>
        <w:pStyle w:val="Compact"/>
      </w:pPr>
      <w:r>
        <w:rPr>
          <w:bCs/>
          <w:b/>
        </w:rPr>
        <w:t xml:space="preserve">Write meaningful commit messages</w:t>
      </w:r>
      <w:r>
        <w:t xml:space="preserve"> </w:t>
      </w:r>
      <w:r>
        <w:t xml:space="preserve">— The history is documentation</w:t>
      </w:r>
    </w:p>
    <w:p>
      <w:pPr>
        <w:numPr>
          <w:ilvl w:val="0"/>
          <w:numId w:val="1002"/>
        </w:numPr>
        <w:pStyle w:val="Compact"/>
      </w:pPr>
      <w:r>
        <w:rPr>
          <w:bCs/>
          <w:b/>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25"/>
    <w:bookmarkEnd w:id="26"/>
    <w:bookmarkStart w:id="32" w:name="module-descriptions"/>
    <w:p>
      <w:pPr>
        <w:pStyle w:val="Heading2"/>
      </w:pPr>
      <w:r>
        <w:t xml:space="preserve">Module Descriptions</w:t>
      </w:r>
    </w:p>
    <w:bookmarkStart w:id="28" w:name="Xb0b962f346a299d1b0bf3f0627992ebb80198f4"/>
    <w:p>
      <w:pPr>
        <w:pStyle w:val="Heading3"/>
      </w:pPr>
      <w:r>
        <w:t xml:space="preserve">Module 1 — Issue Tracking as Work Documentation</w:t>
      </w:r>
    </w:p>
    <w:p>
      <w:pPr>
        <w:pStyle w:val="FirstParagraph"/>
      </w:pPr>
      <w:r>
        <w:rPr>
          <w:bCs/>
          <w:b/>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Start w:id="27" w:name="X1653c0394c1e886a8f3d8b34a2cb31581de6099"/>
    <w:p>
      <w:pPr>
        <w:pStyle w:val="Heading4"/>
      </w:pPr>
      <w:r>
        <w:t xml:space="preserve">Stakeholder Visibility Spike: GitHub Projects Kanban</w:t>
      </w:r>
    </w:p>
    <w:p>
      <w:pPr>
        <w:pStyle w:val="FirstParagraph"/>
      </w:pPr>
      <w:r>
        <w:t xml:space="preserve">To increase report-chain visibility during delivery, the module now includes a presentation-ready GitHub Projects Kanban view driven by the same issue artifacts students already maintain. The board uses three status columns aligned to stakeholder language:</w:t>
      </w:r>
    </w:p>
    <w:p>
      <w:pPr>
        <w:numPr>
          <w:ilvl w:val="0"/>
          <w:numId w:val="1003"/>
        </w:numPr>
        <w:pStyle w:val="Compact"/>
      </w:pPr>
      <w:r>
        <w:rPr>
          <w:bCs/>
          <w:b/>
        </w:rPr>
        <w:t xml:space="preserve">Blocked</w:t>
      </w:r>
      <w:r>
        <w:t xml:space="preserve"> </w:t>
      </w:r>
      <w:r>
        <w:t xml:space="preserve">— issue has dependency/risk label and cannot proceed</w:t>
      </w:r>
    </w:p>
    <w:p>
      <w:pPr>
        <w:numPr>
          <w:ilvl w:val="0"/>
          <w:numId w:val="1003"/>
        </w:numPr>
        <w:pStyle w:val="Compact"/>
      </w:pPr>
      <w:r>
        <w:rPr>
          <w:bCs/>
          <w:b/>
        </w:rPr>
        <w:t xml:space="preserve">In Progress</w:t>
      </w:r>
      <w:r>
        <w:t xml:space="preserve"> </w:t>
      </w:r>
      <w:r>
        <w:t xml:space="preserve">— active branch or draft PR exists</w:t>
      </w:r>
    </w:p>
    <w:p>
      <w:pPr>
        <w:numPr>
          <w:ilvl w:val="0"/>
          <w:numId w:val="1003"/>
        </w:numPr>
        <w:pStyle w:val="Compact"/>
      </w:pPr>
      <w:r>
        <w:rPr>
          <w:bCs/>
          <w:b/>
        </w:rPr>
        <w:t xml:space="preserve">Completed</w:t>
      </w:r>
      <w:r>
        <w:t xml:space="preserve"> </w:t>
      </w:r>
      <w:r>
        <w:t xml:space="preserve">— merged PR and closed issue</w:t>
      </w:r>
    </w:p>
    <w:p>
      <w:pPr>
        <w:pStyle w:val="FirstParagraph"/>
      </w:pPr>
      <w:r>
        <w:t xml:space="preserve">Because this view is powered by default GitHub issue/PR metadata (status, assignee, labels, linked PR state), no parallel tracking spreadsheet is required. Instructors can demonstrate current execution state and learning velocity (dy/dx) in one live screen during checkpoint reviews.</w:t>
      </w:r>
    </w:p>
    <w:bookmarkEnd w:id="27"/>
    <w:bookmarkEnd w:id="28"/>
    <w:bookmarkStart w:id="29" w:name="module-2-branch-and-merge-workflow"/>
    <w:p>
      <w:pPr>
        <w:pStyle w:val="Heading3"/>
      </w:pPr>
      <w:r>
        <w:t xml:space="preserve">Module 2 — Branch-and-Merge Workflow</w:t>
      </w:r>
    </w:p>
    <w:p>
      <w:pPr>
        <w:pStyle w:val="FirstParagraph"/>
      </w:pPr>
      <w:r>
        <w:rPr>
          <w:bCs/>
          <w:b/>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Cs/>
          <w:i/>
        </w:rPr>
        <w:t xml:space="preserve">small, frequent commits with clear context</w:t>
      </w:r>
      <w:r>
        <w:t xml:space="preserve"> </w:t>
      </w:r>
      <w:r>
        <w:t xml:space="preserve">rather than large, infrequent batch submissions. Students learn to work at the scale and rhythm professional review requires.</w:t>
      </w:r>
    </w:p>
    <w:bookmarkEnd w:id="29"/>
    <w:bookmarkStart w:id="30" w:name="module-3-pull-request-process"/>
    <w:p>
      <w:pPr>
        <w:pStyle w:val="Heading3"/>
      </w:pPr>
      <w:r>
        <w:t xml:space="preserve">Module 3 — Pull Request Process</w:t>
      </w:r>
    </w:p>
    <w:p>
      <w:pPr>
        <w:pStyle w:val="FirstParagraph"/>
      </w:pPr>
      <w:r>
        <w:rPr>
          <w:bCs/>
          <w:b/>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Cs/>
          <w:b/>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30"/>
    <w:bookmarkStart w:id="31" w:name="module-4-self-and-peer-code-review"/>
    <w:p>
      <w:pPr>
        <w:pStyle w:val="Heading3"/>
      </w:pPr>
      <w:r>
        <w:t xml:space="preserve">Module 4 — Self and Peer Code Review</w:t>
      </w:r>
    </w:p>
    <w:p>
      <w:pPr>
        <w:pStyle w:val="FirstParagraph"/>
      </w:pPr>
      <w:r>
        <w:rPr>
          <w:bCs/>
          <w:b/>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Cs/>
          <w:b/>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Cs/>
          <w:i/>
        </w:rPr>
        <w:t xml:space="preserve">State of Code Review</w:t>
      </w:r>
      <w:r>
        <w:t xml:space="preserve"> </w:t>
      </w:r>
      <w:r>
        <w:t xml:space="preserve">survey — conducted annually across approximately 800 software professionals — has identified peer code review as the</w:t>
      </w:r>
      <w:r>
        <w:t xml:space="preserve"> </w:t>
      </w:r>
      <w:r>
        <w:rPr>
          <w:bCs/>
          <w:b/>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Cs/>
          <w:i/>
        </w:rPr>
        <w:t xml:space="preserve">ACM Transactions on Computing Education</w:t>
      </w:r>
      <w:r>
        <w:t xml:space="preserve"> </w:t>
      </w:r>
      <w:r>
        <w:t xml:space="preserve">— examining 51 empirical studies — found that peer code review in higher education consistently produces gains in</w:t>
      </w:r>
      <w:r>
        <w:t xml:space="preserve"> </w:t>
      </w:r>
      <w:r>
        <w:rPr>
          <w:bCs/>
          <w:b/>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31"/>
    <w:bookmarkEnd w:id="32"/>
    <w:bookmarkStart w:id="33"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gives students enough repetitions that the workflow becomes routine: they stop</w:t>
      </w:r>
      <w:r>
        <w:t xml:space="preserve"> </w:t>
      </w:r>
      <w:r>
        <w:rPr>
          <w:iCs/>
          <w:i/>
        </w:rPr>
        <w:t xml:space="preserve">thinking about</w:t>
      </w:r>
      <w:r>
        <w:t xml:space="preserve"> </w:t>
      </w:r>
      <w:r>
        <w:t xml:space="preserve">the steps and start</w:t>
      </w:r>
      <w:r>
        <w:t xml:space="preserve"> </w:t>
      </w:r>
      <w:r>
        <w:rPr>
          <w:iCs/>
          <w:i/>
        </w:rPr>
        <w:t xml:space="preserve">enacting</w:t>
      </w:r>
      <w:r>
        <w:t xml:space="preserve"> </w:t>
      </w:r>
      <w:r>
        <w:t xml:space="preserve">them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33"/>
    <w:bookmarkStart w:id="36" w:name="evidence-of-effectiveness"/>
    <w:p>
      <w:pPr>
        <w:pStyle w:val="Heading2"/>
      </w:pPr>
      <w:r>
        <w:t xml:space="preserve">Evidence of Effectiveness</w:t>
      </w:r>
    </w:p>
    <w:bookmarkStart w:id="34"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ook w:firstRow="1" w:lastRow="0" w:firstColumn="0" w:lastColumn="0" w:noHBand="0" w:noVBand="0" w:val="0020"/>
        <w:jc w:val="start"/>
      </w:tblPr>
      <w:tblGrid>
        <w:gridCol w:w="6788"/>
        <w:gridCol w:w="1131"/>
      </w:tblGrid>
      <w:tr>
        <w:trPr>
          <w:tblHeader w:val="true"/>
        </w:trPr>
        <w:tc>
          <w:tcPr/>
          <w:p>
            <w:pPr>
              <w:pStyle w:val="Compact"/>
              <w:jc w:val="left"/>
            </w:pPr>
            <w:r>
              <w:t xml:space="preserve">Metric</w:t>
            </w:r>
          </w:p>
        </w:tc>
        <w:tc>
          <w:tcPr/>
          <w:p>
            <w:pPr>
              <w:pStyle w:val="Compact"/>
              <w:jc w:val="left"/>
            </w:pPr>
            <w:r>
              <w:t xml:space="preserve">Result</w:t>
            </w:r>
          </w:p>
        </w:tc>
      </w:tr>
      <w:tr>
        <w:tc>
          <w:tcPr/>
          <w:p>
            <w:pPr>
              <w:pStyle w:val="Compact"/>
              <w:jc w:val="left"/>
            </w:pPr>
            <w:r>
              <w:t xml:space="preserve">Students creating issues before code (by Sprint 2)</w:t>
            </w:r>
          </w:p>
        </w:tc>
        <w:tc>
          <w:tcPr/>
          <w:p>
            <w:pPr>
              <w:pStyle w:val="Compact"/>
              <w:jc w:val="left"/>
            </w:pPr>
            <w:r>
              <w:t xml:space="preserve">100% [SOURCE NEEDED: GH org export — issue-creation timestamps vs first-commit timestamps]</w:t>
            </w:r>
          </w:p>
        </w:tc>
      </w:tr>
      <w:tr>
        <w:tc>
          <w:tcPr/>
          <w:p>
            <w:pPr>
              <w:pStyle w:val="Compact"/>
              <w:jc w:val="left"/>
            </w:pPr>
            <w:r>
              <w:t xml:space="preserve">Average issue completeness score</w:t>
            </w:r>
          </w:p>
        </w:tc>
        <w:tc>
          <w:tcPr/>
          <w:p>
            <w:pPr>
              <w:pStyle w:val="Compact"/>
              <w:jc w:val="left"/>
            </w:pPr>
            <w:r>
              <w:t xml:space="preserve">92/100 [SOURCE NEEDED: graded rubric file]</w:t>
            </w:r>
          </w:p>
        </w:tc>
      </w:tr>
      <w:tr>
        <w:tc>
          <w:tcPr/>
          <w:p>
            <w:pPr>
              <w:pStyle w:val="Compact"/>
              <w:jc w:val="left"/>
            </w:pPr>
            <w:r>
              <w:t xml:space="preserve">PRs properly linked to issues</w:t>
            </w:r>
          </w:p>
        </w:tc>
        <w:tc>
          <w:tcPr/>
          <w:p>
            <w:pPr>
              <w:pStyle w:val="Compact"/>
              <w:jc w:val="left"/>
            </w:pPr>
            <w:r>
              <w:t xml:space="preserve">95% [SOURCE NEEDED: GH org export of PR bodies]</w:t>
            </w:r>
          </w:p>
        </w:tc>
      </w:tr>
      <w:tr>
        <w:tc>
          <w:tcPr/>
          <w:p>
            <w:pPr>
              <w:pStyle w:val="Compact"/>
              <w:jc w:val="left"/>
            </w:pPr>
            <w:r>
              <w:t xml:space="preserve">Students resolving merge conflicts without instructor intervention</w:t>
            </w:r>
          </w:p>
        </w:tc>
        <w:tc>
          <w:tcPr/>
          <w:p>
            <w:pPr>
              <w:pStyle w:val="Compact"/>
              <w:jc w:val="left"/>
            </w:pPr>
            <w:r>
              <w:t xml:space="preserve">89% [SOURCE NEEDED: instructor log / TA intake tickets]</w:t>
            </w:r>
          </w:p>
        </w:tc>
      </w:tr>
      <w:tr>
        <w:tc>
          <w:tcPr/>
          <w:p>
            <w:pPr>
              <w:pStyle w:val="Compact"/>
              <w:jc w:val="left"/>
            </w:pPr>
            <w:r>
              <w:t xml:space="preserve">Work lost due to Git errors</w:t>
            </w:r>
          </w:p>
        </w:tc>
        <w:tc>
          <w:tcPr/>
          <w:p>
            <w:pPr>
              <w:pStyle w:val="Compact"/>
              <w:jc w:val="left"/>
            </w:pPr>
            <w:r>
              <w:t xml:space="preserve">0 instances [SOURCE NEEDED: instructor log — method of counting unclear]</w:t>
            </w:r>
          </w:p>
        </w:tc>
      </w:tr>
      <w:tr>
        <w:tc>
          <w:tcPr/>
          <w:p>
            <w:pPr>
              <w:pStyle w:val="Compact"/>
              <w:jc w:val="left"/>
            </w:pPr>
            <w:r>
              <w:t xml:space="preserve">Average PR cycle time (create → merge)</w:t>
            </w:r>
          </w:p>
        </w:tc>
        <w:tc>
          <w:tcPr/>
          <w:p>
            <w:pPr>
              <w:pStyle w:val="Compact"/>
              <w:jc w:val="left"/>
            </w:pPr>
            <w:r>
              <w:t xml:space="preserve">2.3 days [SOURCE NEEDED: GH org export or analytics tool — what tool generated this?]</w:t>
            </w:r>
          </w:p>
        </w:tc>
      </w:tr>
      <w:tr>
        <w:tc>
          <w:tcPr/>
          <w:p>
            <w:pPr>
              <w:pStyle w:val="Compact"/>
              <w:jc w:val="left"/>
            </w:pPr>
            <w:r>
              <w:t xml:space="preserve">Average peer review score</w:t>
            </w:r>
          </w:p>
        </w:tc>
        <w:tc>
          <w:tcPr/>
          <w:p>
            <w:pPr>
              <w:pStyle w:val="Compact"/>
              <w:jc w:val="left"/>
            </w:pPr>
            <w:r>
              <w:t xml:space="preserve">85/100 [SOURCE NEEDED: graded peer-review rubric file]</w:t>
            </w:r>
          </w:p>
        </w:tc>
      </w:tr>
      <w:tr>
        <w:tc>
          <w:tcPr/>
          <w:p>
            <w:pPr>
              <w:pStyle w:val="Compact"/>
              <w:jc w:val="left"/>
            </w:pPr>
            <w:r>
              <w:t xml:space="preserve">Students who addressed review feedback constructively</w:t>
            </w:r>
          </w:p>
        </w:tc>
        <w:tc>
          <w:tcPr/>
          <w:p>
            <w:pPr>
              <w:pStyle w:val="Compact"/>
              <w:jc w:val="left"/>
            </w:pPr>
            <w:r>
              <w:t xml:space="preserve">94% [SOURCE NEEDED: graded rubric / reviewer follow-up log]</w:t>
            </w:r>
          </w:p>
        </w:tc>
      </w:tr>
      <w:tr>
        <w:tc>
          <w:tcPr/>
          <w:p>
            <w:pPr>
              <w:pStyle w:val="Compact"/>
              <w:jc w:val="left"/>
            </w:pPr>
            <w:r>
              <w:t xml:space="preserve">Interpersonal conflicts arising from peer review process</w:t>
            </w:r>
          </w:p>
        </w:tc>
        <w:tc>
          <w:tcPr/>
          <w:p>
            <w:pPr>
              <w:pStyle w:val="Compact"/>
              <w:jc w:val="left"/>
            </w:pPr>
            <w:r>
              <w:t xml:space="preserve">0 [SOURCE NEEDED: instructor log]</w:t>
            </w:r>
          </w:p>
        </w:tc>
      </w:tr>
    </w:tbl>
    <w:p>
      <w:pPr>
        <w:pStyle w:val="BodyText"/>
      </w:pPr>
      <w:r>
        <w:t xml:space="preserve">These figures reflect not just technical competency but professional behavioral formation — the actual outcome the objective was designed to produce.</w:t>
      </w:r>
    </w:p>
    <w:bookmarkEnd w:id="34"/>
    <w:bookmarkStart w:id="35"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Cs/>
          <w:i/>
        </w:rPr>
        <w:t xml:space="preserve">“</w:t>
      </w:r>
      <w:r>
        <w:rPr>
          <w:iCs/>
          <w:i/>
        </w:rPr>
        <w:t xml:space="preserve">The Sacred Workflow felt silly at first, but now I do it automatically.</w:t>
      </w:r>
      <w:r>
        <w:rPr>
          <w:iCs/>
          <w:i/>
        </w:rPr>
        <w:t xml:space="preserve">”</w:t>
      </w:r>
      <w:r>
        <w:t xml:space="preserve"> </w:t>
      </w:r>
      <w:r>
        <w:t xml:space="preserve">[SOURCE NEEDED: survey/retro/exit-ticket]</w:t>
      </w:r>
    </w:p>
    <w:p>
      <w:pPr>
        <w:pStyle w:val="BlockText"/>
      </w:pPr>
      <w:r>
        <w:rPr>
          <w:iCs/>
          <w:i/>
        </w:rPr>
        <w:t xml:space="preserve">“</w:t>
      </w:r>
      <w:r>
        <w:rPr>
          <w:iCs/>
          <w:i/>
        </w:rPr>
        <w:t xml:space="preserve">Draft PRs saved me from redoing work twice.</w:t>
      </w:r>
      <w:r>
        <w:rPr>
          <w:iCs/>
          <w:i/>
        </w:rPr>
        <w:t xml:space="preserve">”</w:t>
      </w:r>
      <w:r>
        <w:t xml:space="preserve"> </w:t>
      </w:r>
      <w:r>
        <w:t xml:space="preserve">[SOURCE NEEDED: survey/retro/exit-ticket]</w:t>
      </w:r>
    </w:p>
    <w:p>
      <w:pPr>
        <w:pStyle w:val="BlockText"/>
      </w:pPr>
      <w:r>
        <w:rPr>
          <w:iCs/>
          <w:i/>
        </w:rPr>
        <w:t xml:space="preserve">“</w:t>
      </w:r>
      <w:r>
        <w:rPr>
          <w:iCs/>
          <w:i/>
        </w:rPr>
        <w:t xml:space="preserve">Peer review taught me to write clearer code even before review.</w:t>
      </w:r>
      <w:r>
        <w:rPr>
          <w:iCs/>
          <w:i/>
        </w:rPr>
        <w:t xml:space="preserve">”</w:t>
      </w:r>
      <w:r>
        <w:t xml:space="preserve"> </w:t>
      </w:r>
      <w:r>
        <w:t xml:space="preserve">[SOURCE NEEDED: survey/retro/exit-ticket]</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 [SOURCE NEEDED: exit interview instrument + responses]</w:t>
      </w:r>
    </w:p>
    <w:p>
      <w:r>
        <w:pict>
          <v:rect style="width:0;height:1.5pt" o:hralign="center" o:hrstd="t" o:hr="t"/>
        </w:pict>
      </w:r>
    </w:p>
    <w:bookmarkEnd w:id="35"/>
    <w:bookmarkEnd w:id="36"/>
    <w:bookmarkStart w:id="37" w:name="materials-available-on-request"/>
    <w:p>
      <w:pPr>
        <w:pStyle w:val="Heading2"/>
      </w:pPr>
      <w:r>
        <w:t xml:space="preserve">Materials available on request</w:t>
      </w:r>
    </w:p>
    <w:p>
      <w:pPr>
        <w:pStyle w:val="FirstParagraph"/>
      </w:pPr>
      <w:r>
        <w:t xml:space="preserve">The same workflow currently runs in CSC 289 (full four-module implementation) and in CTS 285 (issue tracking and basic branch workflow). If any other faculty member wants to try it — in CSC 151 or elsewhere — the supporting materials are available:</w:t>
      </w:r>
    </w:p>
    <w:p>
      <w:pPr>
        <w:numPr>
          <w:ilvl w:val="0"/>
          <w:numId w:val="1004"/>
        </w:numPr>
        <w:pStyle w:val="Compact"/>
      </w:pPr>
      <w:r>
        <w:rPr>
          <w:rStyle w:val="VerbatimChar"/>
        </w:rPr>
        <w:t xml:space="preserve">WORKFLOW_GUIDE.md</w:t>
      </w:r>
      <w:r>
        <w:t xml:space="preserve"> </w:t>
      </w:r>
      <w:r>
        <w:t xml:space="preserve">— Complete Sacred Workflow documentation</w:t>
      </w:r>
    </w:p>
    <w:p>
      <w:pPr>
        <w:numPr>
          <w:ilvl w:val="0"/>
          <w:numId w:val="1004"/>
        </w:numPr>
        <w:pStyle w:val="Compact"/>
      </w:pPr>
      <w:r>
        <w:rPr>
          <w:rStyle w:val="VerbatimChar"/>
        </w:rPr>
        <w:t xml:space="preserve">ISSUE_TEMPLATE.md</w:t>
      </w:r>
      <w:r>
        <w:t xml:space="preserve"> </w:t>
      </w:r>
      <w:r>
        <w:t xml:space="preserve">— Issue creation template and guidelines</w:t>
      </w:r>
    </w:p>
    <w:p>
      <w:pPr>
        <w:numPr>
          <w:ilvl w:val="0"/>
          <w:numId w:val="1004"/>
        </w:numPr>
        <w:pStyle w:val="Compact"/>
      </w:pPr>
      <w:r>
        <w:rPr>
          <w:rStyle w:val="VerbatimChar"/>
        </w:rPr>
        <w:t xml:space="preserve">Capstone_GameFAQs_Walkthrough.md</w:t>
      </w:r>
      <w:r>
        <w:t xml:space="preserve"> </w:t>
      </w:r>
      <w:r>
        <w:t xml:space="preserve">— Student-facing workflow guide</w:t>
      </w:r>
    </w:p>
    <w:p>
      <w:pPr>
        <w:numPr>
          <w:ilvl w:val="0"/>
          <w:numId w:val="1004"/>
        </w:numPr>
        <w:pStyle w:val="Compact"/>
      </w:pPr>
      <w:r>
        <w:rPr>
          <w:rStyle w:val="VerbatimChar"/>
        </w:rPr>
        <w:t xml:space="preserve">YELLOW_Exit_Ticket_Rubric.md</w:t>
      </w:r>
      <w:r>
        <w:t xml:space="preserve"> </w:t>
      </w:r>
      <w:r>
        <w:t xml:space="preserve">— Competency assessment rubric</w:t>
      </w:r>
    </w:p>
    <w:p>
      <w:pPr>
        <w:numPr>
          <w:ilvl w:val="0"/>
          <w:numId w:val="1004"/>
        </w:numPr>
        <w:pStyle w:val="Compact"/>
      </w:pPr>
      <w:r>
        <w:rPr>
          <w:rStyle w:val="VerbatimChar"/>
        </w:rPr>
        <w:t xml:space="preserve">DAY_1_ESSENTIALS.md</w:t>
      </w:r>
      <w:r>
        <w:t xml:space="preserve"> </w:t>
      </w:r>
      <w:r>
        <w:t xml:space="preserve">— Day 1 orientation and setup guide</w:t>
      </w:r>
    </w:p>
    <w:p>
      <w:pPr>
        <w:numPr>
          <w:ilvl w:val="0"/>
          <w:numId w:val="1004"/>
        </w:numPr>
        <w:pStyle w:val="Compact"/>
      </w:pPr>
      <w:r>
        <w:t xml:space="preserve">Sprint planning integration guide, peer review rubrics, and scaffolding progression documentation</w:t>
      </w:r>
    </w:p>
    <w:p>
      <w:pPr>
        <w:pStyle w:val="FirstParagraph"/>
      </w:pPr>
      <w:r>
        <w:t xml:space="preserve">Happy to share GitHub links with anyone who asks.</w:t>
      </w:r>
    </w:p>
    <w:p>
      <w:r>
        <w:pict>
          <v:rect style="width:0;height:1.5pt" o:hralign="center" o:hrstd="t" o:hr="t"/>
        </w:pict>
      </w:r>
    </w:p>
    <w:bookmarkEnd w:id="37"/>
    <w:bookmarkStart w:id="38" w:name="assessment"/>
    <w:p>
      <w:pPr>
        <w:pStyle w:val="Heading2"/>
      </w:pPr>
      <w:r>
        <w:t xml:space="preserve">Assessment</w:t>
      </w:r>
    </w:p>
    <w:p>
      <w:pPr>
        <w:pStyle w:val="FirstParagraph"/>
      </w:pPr>
      <w:r>
        <w:t xml:space="preserve">The original objective specified four assignments covering GitHub collaboration and version control with a team. Four assignments were delivered, in the form documented above. The objective is met.</w:t>
      </w:r>
    </w:p>
    <w:p>
      <w:pPr>
        <w:pStyle w:val="BodyText"/>
      </w:pPr>
      <w:r>
        <w:t xml:space="preserve">The supporting materials (the named workflow, the scaffolded exercise progression, the four-category review rubric, the day-one orientation) are the form the four assignments took. They are checked in and available on request to any other faculty in the department who wants to reuse them.</w:t>
      </w:r>
    </w:p>
    <w:p>
      <w:r>
        <w:pict>
          <v:rect style="width:0;height:1.5pt" o:hralign="center" o:hrstd="t" o:hr="t"/>
        </w:pict>
      </w:r>
    </w:p>
    <w:bookmarkEnd w:id="38"/>
    <w:bookmarkStart w:id="39" w:name="summary"/>
    <w:p>
      <w:pPr>
        <w:pStyle w:val="Heading2"/>
      </w:pPr>
      <w:r>
        <w:t xml:space="preserve">Summary</w:t>
      </w:r>
    </w:p>
    <w:tbl>
      <w:tblPr>
        <w:tblStyle w:val="Table"/>
        <w:tblW w:type="pct" w:w="5000"/>
        <w:tblLook w:firstRow="1" w:lastRow="0" w:firstColumn="0" w:lastColumn="0" w:noHBand="0" w:noVBand="0" w:val="0020"/>
        <w:jc w:val="start"/>
      </w:tblPr>
      <w:tblGrid>
        <w:gridCol w:w="1387"/>
        <w:gridCol w:w="6532"/>
      </w:tblGrid>
      <w:tr>
        <w:trPr>
          <w:tblHeader w:val="true"/>
        </w:trPr>
        <w:tc>
          <w:tcPr/>
          <w:p>
            <w:pPr>
              <w:pStyle w:val="Compact"/>
              <w:jc w:val="left"/>
            </w:pPr>
            <w:r>
              <w:t xml:space="preserve">Requirement</w:t>
            </w:r>
          </w:p>
        </w:tc>
        <w:tc>
          <w:tcPr/>
          <w:p>
            <w:pPr>
              <w:pStyle w:val="Compact"/>
              <w:jc w:val="left"/>
            </w:pPr>
            <w:r>
              <w:t xml:space="preserve">Delivered</w:t>
            </w:r>
          </w:p>
        </w:tc>
      </w:tr>
      <w:tr>
        <w:tc>
          <w:tcPr/>
          <w:p>
            <w:pPr>
              <w:pStyle w:val="Compact"/>
              <w:jc w:val="left"/>
            </w:pPr>
            <w:r>
              <w:t xml:space="preserve">1+ branch-and-merge assignments</w:t>
            </w:r>
          </w:p>
        </w:tc>
        <w:tc>
          <w:tcPr/>
          <w:p>
            <w:pPr>
              <w:pStyle w:val="Compact"/>
              <w:jc w:val="left"/>
            </w:pPr>
            <w:r>
              <w:t xml:space="preserve">Three-phase exercise progression (solo → pair → full team) with sprint integration</w:t>
            </w:r>
          </w:p>
        </w:tc>
      </w:tr>
      <w:tr>
        <w:tc>
          <w:tcPr/>
          <w:p>
            <w:pPr>
              <w:pStyle w:val="Compact"/>
              <w:jc w:val="left"/>
            </w:pPr>
            <w:r>
              <w:t xml:space="preserve">Self/peer review framework</w:t>
            </w:r>
          </w:p>
        </w:tc>
        <w:tc>
          <w:tcPr/>
          <w:p>
            <w:pPr>
              <w:pStyle w:val="Compact"/>
              <w:jc w:val="left"/>
            </w:pPr>
            <w:r>
              <w:t xml:space="preserve">Four-category rubric system with self-review checklist, reviewer assessment, and response protocol</w:t>
            </w:r>
          </w:p>
        </w:tc>
      </w:tr>
      <w:tr>
        <w:tc>
          <w:tcPr/>
          <w:p>
            <w:pPr>
              <w:pStyle w:val="Compact"/>
              <w:jc w:val="left"/>
            </w:pPr>
            <w:r>
              <w:t xml:space="preserve">Issue tracking integration</w:t>
            </w:r>
          </w:p>
        </w:tc>
        <w:tc>
          <w:tcPr/>
          <w:p>
            <w:pPr>
              <w:pStyle w:val="Compact"/>
              <w:jc w:val="left"/>
            </w:pPr>
            <w:r>
              <w:t xml:space="preserve">Three-tier scaffolded implementation (INFRARED through GREEN); full sprint-lifecycle traceability</w:t>
            </w:r>
          </w:p>
        </w:tc>
      </w:tr>
      <w:tr>
        <w:tc>
          <w:tcPr/>
          <w:p>
            <w:pPr>
              <w:pStyle w:val="Compact"/>
              <w:jc w:val="left"/>
            </w:pPr>
            <w:r>
              <w:rPr>
                <w:bCs/>
                <w:b/>
              </w:rPr>
              <w:t xml:space="preserve">Beyond requirements</w:t>
            </w:r>
          </w:p>
        </w:tc>
        <w:tc>
          <w:tcPr/>
          <w:p>
            <w:pPr>
              <w:pStyle w:val="Compact"/>
              <w:jc w:val="lef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39"/>
    <w:bookmarkStart w:id="40" w:name="references"/>
    <w:p>
      <w:pPr>
        <w:pStyle w:val="Heading2"/>
      </w:pPr>
      <w:r>
        <w:t xml:space="preserve">References</w:t>
      </w:r>
    </w:p>
    <w:p>
      <w:pPr>
        <w:numPr>
          <w:ilvl w:val="0"/>
          <w:numId w:val="1005"/>
        </w:numPr>
        <w:pStyle w:val="Compact"/>
      </w:pPr>
      <w:r>
        <w:t xml:space="preserve">Garousi, V., Giray, G., Tuzun, E., Catal, C., &amp; Felderer, M. (2020). Closing the gap between software engineering education and industrial needs.</w:t>
      </w:r>
      <w:r>
        <w:t xml:space="preserve"> </w:t>
      </w:r>
      <w:r>
        <w:rPr>
          <w:iCs/>
          <w:i/>
        </w:rPr>
        <w:t xml:space="preserve">IEEE Software, 37</w:t>
      </w:r>
      <w:r>
        <w:t xml:space="preserve">(2), 68–77. https://arxiv.org/pdf/1812.01954</w:t>
      </w:r>
    </w:p>
    <w:p>
      <w:pPr>
        <w:numPr>
          <w:ilvl w:val="0"/>
          <w:numId w:val="1005"/>
        </w:numPr>
        <w:pStyle w:val="Compact"/>
      </w:pPr>
      <w:r>
        <w:t xml:space="preserve">Stack Overflow. (2024).</w:t>
      </w:r>
      <w:r>
        <w:t xml:space="preserve"> </w:t>
      </w:r>
      <w:r>
        <w:rPr>
          <w:iCs/>
          <w:i/>
        </w:rPr>
        <w:t xml:space="preserve">Stack Overflow Developer Survey 2024</w:t>
      </w:r>
      <w:r>
        <w:t xml:space="preserve"> </w:t>
      </w:r>
      <w:r>
        <w:t xml:space="preserve">(n = 65,437). https://survey.stackoverflow.co/2024/</w:t>
      </w:r>
    </w:p>
    <w:p>
      <w:pPr>
        <w:numPr>
          <w:ilvl w:val="0"/>
          <w:numId w:val="1005"/>
        </w:numPr>
        <w:pStyle w:val="Compact"/>
      </w:pPr>
      <w:r>
        <w:t xml:space="preserve">GitHub. (2025).</w:t>
      </w:r>
      <w:r>
        <w:t xml:space="preserve"> </w:t>
      </w:r>
      <w:r>
        <w:rPr>
          <w:iCs/>
          <w:i/>
        </w:rPr>
        <w:t xml:space="preserve">Octoverse 2025: A new developer joins GitHub every second.</w:t>
      </w:r>
      <w:r>
        <w:t xml:space="preserve"> </w:t>
      </w:r>
      <w:r>
        <w:t xml:space="preserve">https://github.blog/news-insights/octoverse/octoverse-a-new-developer-joins-github-every-second-as-ai-leads-typescript-to-1/</w:t>
      </w:r>
    </w:p>
    <w:p>
      <w:pPr>
        <w:numPr>
          <w:ilvl w:val="0"/>
          <w:numId w:val="1005"/>
        </w:numPr>
        <w:pStyle w:val="Compact"/>
      </w:pPr>
      <w:r>
        <w:t xml:space="preserve">JetBrains &amp; GitKraken. (2024).</w:t>
      </w:r>
      <w:r>
        <w:t xml:space="preserve"> </w:t>
      </w:r>
      <w:r>
        <w:rPr>
          <w:iCs/>
          <w:i/>
        </w:rPr>
        <w:t xml:space="preserve">State of Git Collaboration Report.</w:t>
      </w:r>
      <w:r>
        <w:t xml:space="preserve"> </w:t>
      </w:r>
      <w:r>
        <w:t xml:space="preserve">https://blog.jetbrains.com/team/2024/03/05/are-dev-teams-surviving-or-thriving-in-2024-insights-from-jetbrains-and-gitkraken-s-state-of-git-collaboration-report/</w:t>
      </w:r>
    </w:p>
    <w:p>
      <w:pPr>
        <w:numPr>
          <w:ilvl w:val="0"/>
          <w:numId w:val="1005"/>
        </w:numPr>
        <w:pStyle w:val="Compact"/>
      </w:pPr>
      <w:r>
        <w:t xml:space="preserve">Shulman, L. S. (2005). Signature pedagogies in the professions.</w:t>
      </w:r>
      <w:r>
        <w:t xml:space="preserve"> </w:t>
      </w:r>
      <w:r>
        <w:rPr>
          <w:iCs/>
          <w:i/>
        </w:rPr>
        <w:t xml:space="preserve">Daedalus, 134</w:t>
      </w:r>
      <w:r>
        <w:t xml:space="preserve">(3), 52–59.</w:t>
      </w:r>
    </w:p>
    <w:p>
      <w:pPr>
        <w:numPr>
          <w:ilvl w:val="0"/>
          <w:numId w:val="1005"/>
        </w:numPr>
        <w:pStyle w:val="Compact"/>
      </w:pPr>
      <w:r>
        <w:t xml:space="preserve">Lave, J., &amp; Wenger, E. (1991).</w:t>
      </w:r>
      <w:r>
        <w:t xml:space="preserve"> </w:t>
      </w:r>
      <w:r>
        <w:rPr>
          <w:iCs/>
          <w:i/>
        </w:rPr>
        <w:t xml:space="preserve">Situated learning: Legitimate peripheral participation.</w:t>
      </w:r>
      <w:r>
        <w:t xml:space="preserve"> </w:t>
      </w:r>
      <w:r>
        <w:t xml:space="preserve">Cambridge University Press.</w:t>
      </w:r>
    </w:p>
    <w:p>
      <w:pPr>
        <w:numPr>
          <w:ilvl w:val="0"/>
          <w:numId w:val="1005"/>
        </w:numPr>
        <w:pStyle w:val="Compact"/>
      </w:pPr>
      <w:r>
        <w:t xml:space="preserve">Sadowski, C., Söderberg, E., Church, L., Sipko, M., &amp; Bacchelli, A. (2018). Modern code review: A case study at Google.</w:t>
      </w:r>
      <w:r>
        <w:t xml:space="preserve"> </w:t>
      </w:r>
      <w:r>
        <w:rPr>
          <w:iCs/>
          <w:i/>
        </w:rPr>
        <w:t xml:space="preserve">ICSE-SEIP ’18</w:t>
      </w:r>
      <w:r>
        <w:t xml:space="preserve">, 181–190. https://doi.org/10.1145/3183519.3183525</w:t>
      </w:r>
    </w:p>
    <w:p>
      <w:pPr>
        <w:numPr>
          <w:ilvl w:val="0"/>
          <w:numId w:val="1005"/>
        </w:numPr>
        <w:pStyle w:val="Compact"/>
      </w:pPr>
      <w:r>
        <w:t xml:space="preserve">Bacchelli, A., &amp; Bird, C. (2013). Expectations, outcomes, and challenges of modern code review.</w:t>
      </w:r>
      <w:r>
        <w:t xml:space="preserve"> </w:t>
      </w:r>
      <w:r>
        <w:rPr>
          <w:iCs/>
          <w:i/>
        </w:rPr>
        <w:t xml:space="preserve">ICSE ’13</w:t>
      </w:r>
      <w:r>
        <w:t xml:space="preserve">, 712–721. https://doi.org/10.1109/ICSE.2013.6606617</w:t>
      </w:r>
    </w:p>
    <w:p>
      <w:pPr>
        <w:numPr>
          <w:ilvl w:val="0"/>
          <w:numId w:val="1005"/>
        </w:numPr>
        <w:pStyle w:val="Compact"/>
      </w:pPr>
      <w:r>
        <w:t xml:space="preserve">SmartBear. (2021).</w:t>
      </w:r>
      <w:r>
        <w:t xml:space="preserve"> </w:t>
      </w:r>
      <w:r>
        <w:rPr>
          <w:iCs/>
          <w:i/>
        </w:rPr>
        <w:t xml:space="preserve">State of software quality: Code review</w:t>
      </w:r>
      <w:r>
        <w:t xml:space="preserve"> </w:t>
      </w:r>
      <w:r>
        <w:t xml:space="preserve">(8th annual report, n ≈ 800). https://smartbear.com/blog/top-10-insights-on-the-state-of-code-review/</w:t>
      </w:r>
    </w:p>
    <w:p>
      <w:pPr>
        <w:numPr>
          <w:ilvl w:val="0"/>
          <w:numId w:val="1005"/>
        </w:numPr>
        <w:pStyle w:val="Compact"/>
      </w:pPr>
      <w:r>
        <w:t xml:space="preserve">Indriasari, T. D., Luxton-Reilly, A., &amp; Denny, P. (2020). A review of peer code review in higher education.</w:t>
      </w:r>
      <w:r>
        <w:t xml:space="preserve"> </w:t>
      </w:r>
      <w:r>
        <w:rPr>
          <w:iCs/>
          <w:i/>
        </w:rPr>
        <w:t xml:space="preserve">ACM Transactions on Computing Education, 20</w:t>
      </w:r>
      <w:r>
        <w:t xml:space="preserve">(3), Article 22. https://doi.org/10.1145/3403935</w:t>
      </w:r>
    </w:p>
    <w:p>
      <w:pPr>
        <w:numPr>
          <w:ilvl w:val="0"/>
          <w:numId w:val="1005"/>
        </w:numPr>
        <w:pStyle w:val="Compact"/>
      </w:pPr>
      <w:r>
        <w:t xml:space="preserve">McDowell, C., Werner, L., Bullock, H. E., &amp; Fernald, J. (2006). Pair programming improves student retention, confidence, and program quality.</w:t>
      </w:r>
      <w:r>
        <w:t xml:space="preserve"> </w:t>
      </w:r>
      <w:r>
        <w:rPr>
          <w:iCs/>
          <w:i/>
        </w:rPr>
        <w:t xml:space="preserve">Communications of the ACM, 49</w:t>
      </w:r>
      <w:r>
        <w:t xml:space="preserve">(8), 90–95. https://doi.org/10.1145/1145287.1145293</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2026-08-02T12:25:54Z</dcterms:created>
  <dcterms:modified xsi:type="dcterms:W3CDTF">2026-08-02T12:25:54Z</dcterms:modified>
</cp:coreProperties>
</file>

<file path=docProps/custom.xml><?xml version="1.0" encoding="utf-8"?>
<Properties xmlns="http://schemas.openxmlformats.org/officeDocument/2006/custom-properties" xmlns:vt="http://schemas.openxmlformats.org/officeDocument/2006/docPropsVTypes"/>
</file>