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left"/>
      </w:pPr>
      <w:r>
        <w:rPr>
          <w:rFonts w:ascii="SimHei" w:hAnsi="SimHei" w:eastAsia="SimHei"/>
          <w:b/>
          <w:sz w:val="34"/>
        </w:rPr>
        <w:t>一、发明名称</w:t>
      </w:r>
    </w:p>
    <w:p>
      <w:pPr>
        <w:spacing w:after="120" w:before="0" w:line="360" w:lineRule="auto"/>
      </w:pPr>
      <w:r>
        <w:rPr>
          <w:rFonts w:ascii="SimSun" w:hAnsi="SimSun" w:eastAsia="SimSun"/>
          <w:b w:val="0"/>
          <w:sz w:val="24"/>
        </w:rPr>
        <w:t>一种利用遥感生态指数的典型矿区生态环境质量长时序评价方法</w:t>
      </w:r>
    </w:p>
    <w:p>
      <w:pPr>
        <w:spacing w:before="240" w:after="120" w:line="360" w:lineRule="auto"/>
        <w:jc w:val="left"/>
      </w:pPr>
      <w:r>
        <w:rPr>
          <w:rFonts w:ascii="SimHei" w:hAnsi="SimHei" w:eastAsia="SimHei"/>
          <w:b/>
          <w:sz w:val="34"/>
        </w:rPr>
        <w:t>二、技术领域</w:t>
      </w:r>
    </w:p>
    <w:p>
      <w:pPr>
        <w:spacing w:after="120" w:before="0" w:line="360" w:lineRule="auto"/>
      </w:pPr>
      <w:r>
        <w:rPr>
          <w:rFonts w:ascii="SimSun" w:hAnsi="SimSun" w:eastAsia="SimSun"/>
          <w:b w:val="0"/>
          <w:sz w:val="24"/>
        </w:rPr>
        <w:t>本发明涉及环境遥感与矿区生态环境评估技术领域，具体涉及一种利用长时序多源Landsat遥感影像和增强型遥感生态指数M-RSEI的典型矿区生态环境质量长时序动态评价方法。</w:t>
      </w:r>
    </w:p>
    <w:p>
      <w:pPr>
        <w:spacing w:before="240" w:after="120" w:line="360" w:lineRule="auto"/>
        <w:jc w:val="left"/>
      </w:pPr>
      <w:r>
        <w:rPr>
          <w:rFonts w:ascii="SimHei" w:hAnsi="SimHei" w:eastAsia="SimHei"/>
          <w:b/>
          <w:sz w:val="34"/>
        </w:rPr>
        <w:t>三、背景技术</w:t>
      </w:r>
    </w:p>
    <w:p>
      <w:pPr>
        <w:spacing w:after="120" w:before="0" w:line="360" w:lineRule="auto"/>
      </w:pPr>
      <w:r>
        <w:rPr>
          <w:rFonts w:ascii="SimSun" w:hAnsi="SimSun" w:eastAsia="SimSun"/>
          <w:b w:val="0"/>
          <w:sz w:val="24"/>
        </w:rPr>
        <w:t>煤炭和金属矿区的开发活动引发了一系列生态环境问题，包括植被破坏、水土流失、地表沉陷、土壤污染和生物多样性下降等。科学评价矿区生态环境质量、量化生态恢复进程，是矿区环境管理和国土空间生态修复的迫切需求。卫星遥感技术以其长时序、大范围、可回溯的独特优势，已成为矿区生态环境监测的核心技术手段。美国地质调查局（USGS）和美国国家航空航天局（NASA）联合运营的Landsat系列卫星自1984年Landsat 5发射至今，已提供超过35年的连续对地观测数据，空间分辨率30米，涵盖专题制图仪TM、增强型专题制图仪ETM+和陆地成像仪OLI三代传感器，为矿区长时间序列生态评估提供了宝贵的数据基础。</w:t>
      </w:r>
    </w:p>
    <w:p>
      <w:pPr>
        <w:spacing w:after="120" w:before="0" w:line="360" w:lineRule="auto"/>
      </w:pPr>
      <w:r>
        <w:rPr>
          <w:rFonts w:ascii="SimSun" w:hAnsi="SimSun" w:eastAsia="SimSun"/>
          <w:b w:val="0"/>
          <w:sz w:val="24"/>
        </w:rPr>
        <w:t>遥感生态指数RSEI（Remote Sensing Ecological Index）由徐涵秋于2013年在Ecological Indicators期刊提出，以绿度（NDVI）、湿度（WET）、热度（LST）、干度（NDBSI）四个分量通过主成分分析PCA合成，具有完全基于遥感影像、无需人工赋权、结果可重复性强的优势。RSEI已成功应用于城市生态质量评价（Xu, 2019）、流域生态环境评估（Firozjaei et al., 2021）和干旱区生态监测（Ariken et al., 2021）等场景。然而，标准RSEI公式体系主要面向城市环境设计，矿区特殊地表类型——包括矿渣裸土、尾矿库、塌陷积水区和煤粉尘覆盖区域——的四分量光谱响应模式显著不同于城市地表。矿渣裸土在NDBSI和LST两个分量上均呈现高值，容易被标准RSEI误判为生态质量极差的城市硬化地表，而实际上矿渣裸土区域的生态恢复潜力与城市不透水面存在本质差异；塌陷积水区在WET分量上呈现异常高值，导致标准RSEI出现假性偏高。这些矿区特殊地类的存在使得标准RSEI在矿区场景中存在系统性的地类误判问题。</w:t>
      </w:r>
    </w:p>
    <w:p>
      <w:pPr>
        <w:spacing w:after="120" w:before="0" w:line="360" w:lineRule="auto"/>
      </w:pPr>
      <w:r>
        <w:rPr>
          <w:rFonts w:ascii="SimSun" w:hAnsi="SimSun" w:eastAsia="SimSun"/>
          <w:b w:val="0"/>
          <w:sz w:val="24"/>
        </w:rPr>
        <w:t>现有针对矿区的RSEI应用研究仅覆盖短时段和单一时相。Zhu等（2020）利用4个时相影像对山西平朔露天煤矿进行了RSEI评估，时间跨度有限；Sun等（2022）对淮南矿区和Wang等（2023）对胜利煤矿的研究同样局限于数年内的少数时相。这些研究未能形成覆盖矿山勘探、开采、废弃、复垦到稳定全生命周期的长时序评估能力。此外，现有研究存在两个关键技术瓶颈：一是缺乏跨Landsat TM/ETM+/OLI传感器的系统一致性校正方案，不同传感器之间的光谱响应差异导致长时序RSEI值不具有直接可比性，使得35年以上的长时序分析无法实现；二是缺乏基于RSEI时序轨迹形态的生态恢复阶段自动化划分方法，现有研究仅做简单的前后时相对比或一元线性回归，无法捕捉矿区生态系统的非线性变化特征。</w:t>
      </w:r>
    </w:p>
    <w:p>
      <w:pPr>
        <w:spacing w:after="120" w:before="0" w:line="360" w:lineRule="auto"/>
      </w:pPr>
      <w:r>
        <w:rPr>
          <w:rFonts w:ascii="SimSun" w:hAnsi="SimSun" w:eastAsia="SimSun"/>
          <w:b w:val="0"/>
          <w:sz w:val="24"/>
        </w:rPr>
        <w:t>Theil-Sen斜率估计和Mann-Kendall非参数趋势检验（Forkel et al., 2013）以及变点检测方法（Pettitt, 1979; BFAST算法, Verbesselt et al., 2010）在植被遥感的趋势分析中已有成熟应用，能够稳健地识别时间序列中的单调趋势和突变点。然而，将这些时序分析方法系统整合到矿区RSEI长时间序列评价中，形成从数据预处理、指数构建、跨传感器校正、趋势分析到阶段划分和空间格局分析的完整技术链条，在现有文献中尚未见报道。综上，构建矿区增强型RSEI指数体系、实现跨传感器一致性校正，并将时序趋势分析与变点检测联合应用于矿区生态长时序评价，构成本发明所针对的技术空白。</w:t>
      </w:r>
    </w:p>
    <w:p>
      <w:pPr>
        <w:spacing w:before="240" w:after="120" w:line="360" w:lineRule="auto"/>
        <w:jc w:val="left"/>
      </w:pPr>
      <w:r>
        <w:rPr>
          <w:rFonts w:ascii="SimHei" w:hAnsi="SimHei" w:eastAsia="SimHei"/>
          <w:b/>
          <w:sz w:val="34"/>
        </w:rPr>
        <w:t>四、发明内容</w:t>
      </w:r>
    </w:p>
    <w:p>
      <w:pPr>
        <w:spacing w:before="160" w:after="80" w:line="360" w:lineRule="auto"/>
        <w:jc w:val="left"/>
      </w:pPr>
      <w:r>
        <w:rPr>
          <w:rFonts w:ascii="SimHei" w:hAnsi="SimHei" w:eastAsia="SimHei"/>
          <w:b/>
          <w:sz w:val="28"/>
        </w:rPr>
        <w:t>4.1 要解决的技术问题</w:t>
      </w:r>
    </w:p>
    <w:p>
      <w:pPr>
        <w:spacing w:after="120" w:before="0" w:line="360" w:lineRule="auto"/>
      </w:pPr>
      <w:r>
        <w:rPr>
          <w:rFonts w:ascii="SimSun" w:hAnsi="SimSun" w:eastAsia="SimSun"/>
          <w:b w:val="0"/>
          <w:sz w:val="24"/>
        </w:rPr>
        <w:t>（1）标准RSEI仅包含绿度、湿度、热度、干度四个分量，未针对矿区特殊地表类型（矿渣裸土、尾矿库、塌陷积水区、煤粉尘覆盖区）进行光谱增强设计，导致矿区典型地类的生态质量评估存在系统性误判，矿渣裸土被误判为城市硬化地表，塌陷积水区出现生态质量假性偏高。</w:t>
      </w:r>
    </w:p>
    <w:p>
      <w:pPr>
        <w:spacing w:after="120" w:before="0" w:line="360" w:lineRule="auto"/>
      </w:pPr>
      <w:r>
        <w:rPr>
          <w:rFonts w:ascii="SimSun" w:hAnsi="SimSun" w:eastAsia="SimSun"/>
          <w:b w:val="0"/>
          <w:sz w:val="24"/>
        </w:rPr>
        <w:t>（2）Landsat系列卫星TM、ETM+和OLI三代传感器之间存在光谱响应差异，包括波段中心波长偏移、波段宽度变化和辐射分辨率差异等，导致不同时期获取的RSEI值不具有直接可比性。缺乏稳健的跨传感器一致性校正方案，严重制约了利用Landsat全系列数据构建30年以上的长时序矿区生态评估。</w:t>
      </w:r>
    </w:p>
    <w:p>
      <w:pPr>
        <w:spacing w:after="120" w:before="0" w:line="360" w:lineRule="auto"/>
      </w:pPr>
      <w:r>
        <w:rPr>
          <w:rFonts w:ascii="SimSun" w:hAnsi="SimSun" w:eastAsia="SimSun"/>
          <w:b w:val="0"/>
          <w:sz w:val="24"/>
        </w:rPr>
        <w:t>（3）现有矿区RSEI研究仅进行简单的前后时相对比或线性回归，缺乏基于RSEI时序轨迹形态的矿区生态恢复阶段自动化划分方法，无法区分开采扰动期、废弃初期、自然恢复期、人工复垦期和稳定期等不同恢复阶段，也难以进行系统性的空间格局分析。</w:t>
      </w:r>
    </w:p>
    <w:p>
      <w:pPr>
        <w:spacing w:before="160" w:after="80" w:line="360" w:lineRule="auto"/>
        <w:jc w:val="left"/>
      </w:pPr>
      <w:r>
        <w:rPr>
          <w:rFonts w:ascii="SimHei" w:hAnsi="SimHei" w:eastAsia="SimHei"/>
          <w:b/>
          <w:sz w:val="28"/>
        </w:rPr>
        <w:t>4.2 技术方案</w:t>
      </w:r>
    </w:p>
    <w:p>
      <w:pPr>
        <w:spacing w:after="120" w:before="0" w:line="360" w:lineRule="auto"/>
      </w:pPr>
      <w:r>
        <w:rPr>
          <w:rFonts w:ascii="SimSun" w:hAnsi="SimSun" w:eastAsia="SimSun"/>
          <w:b w:val="0"/>
          <w:sz w:val="24"/>
        </w:rPr>
        <w:t>本发明提供一种利用遥感生态指数的典型矿区生态环境质量长时序评价方法，包括以下步骤：</w:t>
      </w:r>
    </w:p>
    <w:p>
      <w:pPr>
        <w:spacing w:after="120" w:before="0" w:line="360" w:lineRule="auto"/>
      </w:pPr>
      <w:r>
        <w:rPr>
          <w:rFonts w:ascii="SimHei" w:hAnsi="SimHei" w:eastAsia="SimHei"/>
          <w:b/>
          <w:sz w:val="24"/>
        </w:rPr>
        <w:t>S1：数据获取与预处理</w:t>
      </w:r>
    </w:p>
    <w:p>
      <w:pPr>
        <w:spacing w:after="120" w:before="0" w:line="360" w:lineRule="auto"/>
      </w:pPr>
      <w:r>
        <w:rPr>
          <w:rFonts w:ascii="SimSun" w:hAnsi="SimSun" w:eastAsia="SimSun"/>
          <w:b w:val="0"/>
          <w:sz w:val="24"/>
        </w:rPr>
        <w:t>获取覆盖目标矿区的Landsat 5 TM、Landsat 7 ETM+和Landsat 8/9 OLI系列长时序遥感影像，采用USGS Collection 2 Level-2地表反射率产品（已进行辐射定标和大气校正）。利用QA_PIXEL质量评估波段进行云和云阴影掩膜，剔除云量大于30%的影像。对于Landsat 7 ETM+的SLC-off条带缺失问题，采用邻域相似像素插值（Neighborhood Similar Pixel Interpolator, NSPI）算法（Zhu et al., 2012）进行修复，并仅在Landsat 5或Landsat 8同期数据不可用时才使用修复数据。将所有影像投影转换至统一UTM投影坐标系，利用矿区矢量边界进行裁剪。影像间几何配准精度控制在优于0.5像素水平。</w:t>
      </w:r>
    </w:p>
    <w:p>
      <w:pPr>
        <w:spacing w:after="120" w:before="0" w:line="360" w:lineRule="auto"/>
      </w:pPr>
      <w:r>
        <w:rPr>
          <w:rFonts w:ascii="SimHei" w:hAnsi="SimHei" w:eastAsia="SimHei"/>
          <w:b/>
          <w:sz w:val="24"/>
        </w:rPr>
        <w:t>S2：矿区增强型遥感生态指数M-RSEI计算</w:t>
      </w:r>
    </w:p>
    <w:p>
      <w:pPr>
        <w:spacing w:after="120" w:before="0" w:line="360" w:lineRule="auto"/>
      </w:pPr>
      <w:r>
        <w:rPr>
          <w:rFonts w:ascii="SimSun" w:hAnsi="SimSun" w:eastAsia="SimSun"/>
          <w:b w:val="0"/>
          <w:sz w:val="24"/>
        </w:rPr>
        <w:t>构建包含六个分量的矿区增强型遥感生态指数M-RSEI，各分量计算公式如下：</w:t>
      </w:r>
    </w:p>
    <w:p>
      <w:pPr>
        <w:spacing w:after="120" w:before="0" w:line="360" w:lineRule="auto"/>
      </w:pPr>
      <w:r>
        <w:rPr>
          <w:rFonts w:ascii="SimSun" w:hAnsi="SimSun" w:eastAsia="SimSun"/>
          <w:b w:val="0"/>
          <w:sz w:val="24"/>
        </w:rPr>
        <w:t>（a）绿度指标NDVI：NDVI = (ρ_NIR − ρ_Red) / (ρ_NIR + ρ_Red)，其中ρ_NIR为近红外波段地表反射率，ρ_Red为红光波段地表反射率。</w:t>
      </w:r>
    </w:p>
    <w:p>
      <w:pPr>
        <w:spacing w:after="120" w:before="0" w:line="360" w:lineRule="auto"/>
      </w:pPr>
      <w:r>
        <w:rPr>
          <w:rFonts w:ascii="SimSun" w:hAnsi="SimSun" w:eastAsia="SimSun"/>
          <w:b w:val="0"/>
          <w:sz w:val="24"/>
        </w:rPr>
        <w:t>（b）湿度指标WET：采用缨帽变换（Tasseled Cap）的湿度分量，使用Crist和Cicone（1984）提出的Landsat TM/ETM+缨帽变换系数及Baig et al.（2014）提出的OLI适配系数进行计算。</w:t>
      </w:r>
    </w:p>
    <w:p>
      <w:pPr>
        <w:spacing w:after="120" w:before="0" w:line="360" w:lineRule="auto"/>
      </w:pPr>
      <w:r>
        <w:rPr>
          <w:rFonts w:ascii="SimSun" w:hAnsi="SimSun" w:eastAsia="SimSun"/>
          <w:b w:val="0"/>
          <w:sz w:val="24"/>
        </w:rPr>
        <w:t>（c）热度指标LST：采用单窗算法（Qin et al., 2001参数化方案）从Landsat热红外波段（TM/ETM+ Band 6, OLI Band 10）反演地表温度，所需的大气透过率和大气平均作用温度参数从影像头文件的元数据中提取，地表比辐射率通过NDVI阈值法估算。</w:t>
      </w:r>
    </w:p>
    <w:p>
      <w:pPr>
        <w:spacing w:after="120" w:before="0" w:line="360" w:lineRule="auto"/>
      </w:pPr>
      <w:r>
        <w:rPr>
          <w:rFonts w:ascii="SimSun" w:hAnsi="SimSun" w:eastAsia="SimSun"/>
          <w:b w:val="0"/>
          <w:sz w:val="24"/>
        </w:rPr>
        <w:t>（d）干度指标NDBSI：NDBSI = (SI + IBI) / 2，其中裸土指数SI = [(ρ_SWIR1 + ρ_Red) − (ρ_NIR + ρ_Blue)] / [(ρ_SWIR1 + ρ_Red) + (ρ_NIR + ρ_Blue)]，建筑指数IBI = {2ρ_SWIR1/(ρ_SWIR1 + ρ_NIR) − [ρ_NIR/(ρ_NIR + ρ_Red) + ρ_Green/(ρ_Green + ρ_SWIR1)]} / {2ρ_SWIR1/(ρ_SWIR1 + ρ_NIR) + [ρ_NIR/(ρ_NIR + ρ_Red) + ρ_Green/(ρ_Green + ρ_SWIR1)]}。</w:t>
      </w:r>
    </w:p>
    <w:p>
      <w:pPr>
        <w:spacing w:after="120" w:before="0" w:line="360" w:lineRule="auto"/>
      </w:pPr>
      <w:r>
        <w:rPr>
          <w:rFonts w:ascii="SimSun" w:hAnsi="SimSun" w:eastAsia="SimSun"/>
          <w:b w:val="0"/>
          <w:sz w:val="24"/>
        </w:rPr>
        <w:t>（e）采矿扰动指数MDI：MDI = (ρ_SWIR1 − ρ_SWIR2) / (ρ_SWIR1 + ρ_SWIR2)。该指数对裸土和矿渣敏感——矿渣区域两个短波红外波段的反射率差值小于正常裸土，因此MDI可有效区分矿渣裸土和一般裸土。其中ρ_SWIR1为Landsat Band 5（TM/ETM+）或Band 6（OLI）短波红外1波段地表反射率，ρ_SWIR2为Landsat Band 7短波红外2波段地表反射率。</w:t>
      </w:r>
    </w:p>
    <w:p>
      <w:pPr>
        <w:spacing w:after="120" w:before="0" w:line="360" w:lineRule="auto"/>
      </w:pPr>
      <w:r>
        <w:rPr>
          <w:rFonts w:ascii="SimSun" w:hAnsi="SimSun" w:eastAsia="SimSun"/>
          <w:b w:val="0"/>
          <w:sz w:val="24"/>
        </w:rPr>
        <w:t>（f）煤粉尘影响指数CDI：CDI = ρ_Blue / (ρ_Blue + ρ_SWIR1)。该指数对大气中煤粉尘散射敏感——在煤粉尘高浓度区域，蓝光波段的瑞利散射增强使CDI升高。其中ρ_Blue为蓝波段地表反射率。</w:t>
      </w:r>
    </w:p>
    <w:p>
      <w:pPr>
        <w:spacing w:after="120" w:before="0" w:line="360" w:lineRule="auto"/>
      </w:pPr>
      <w:r>
        <w:rPr>
          <w:rFonts w:ascii="SimSun" w:hAnsi="SimSun" w:eastAsia="SimSun"/>
          <w:b w:val="0"/>
          <w:sz w:val="24"/>
        </w:rPr>
        <w:t>将上述六个分量进行标准化处理以消除量纲差异后，进行主成分分析PCA。取第一主成分PC1，六分量在PC1中的载荷反映了各自对生态质量的贡献方向和强度。通过公式 RSEI0 = 1 − PC1_normalized 将PC1转换为初始值域[0,1]区间，再通过公式 M-RSEI = (RSEI0 − RSEI0_min) / (RSEI0_max − RSEI0_min) 进行归一化处理，得到最终的M-RSEI指数，值域为[0,1]，值越大表示生态环境质量越好。</w:t>
      </w:r>
    </w:p>
    <w:p>
      <w:pPr>
        <w:spacing w:after="120" w:before="0" w:line="360" w:lineRule="auto"/>
      </w:pPr>
      <w:r>
        <w:rPr>
          <w:rFonts w:ascii="SimHei" w:hAnsi="SimHei" w:eastAsia="SimHei"/>
          <w:b/>
          <w:sz w:val="24"/>
        </w:rPr>
        <w:t>S3：跨传感器一致性校正</w:t>
      </w:r>
    </w:p>
    <w:p>
      <w:pPr>
        <w:spacing w:after="120" w:before="0" w:line="360" w:lineRule="auto"/>
      </w:pPr>
      <w:r>
        <w:rPr>
          <w:rFonts w:ascii="SimSun" w:hAnsi="SimSun" w:eastAsia="SimSun"/>
          <w:b w:val="0"/>
          <w:sz w:val="24"/>
        </w:rPr>
        <w:t>为实现跨Landsat TM、ETM+和OLI传感器长时序M-RSEI的可比较性，提出基于双稳定要素伪不变特征点（Pseudo-Invariant Features, PIFs）的跨传感器校正方法。双稳定要素由两部分组成：（1）地形稳定要素，包括山脊线点、基岩露头区和坡度大于15度的未扰动山坡，这些地物在数十年尺度上地表覆盖类型基本不变；（2）人工稳定要素，包括复垦年限超过10年且植被已达到成熟状态的林地和矿区永久性建筑物（办公楼、选煤厂等）。双稳定要素需同时满足伪不变条件：在多期影像中，各分量的地表反射率变异系数CV小于3%。在各传感器影像重叠年份，提取PIFs在各传感器影像中的六分量值，利用最小二乘回归建立传感器间线性转换函数：VI_OLI = a × VI_TM + b（以TM→OLI为例）。分别对M-RSEI的六个分量进行校正后，再重新计算PCA和归一化，得到可直接比较的长时序M-RSEI序列。</w:t>
      </w:r>
    </w:p>
    <w:p>
      <w:pPr>
        <w:spacing w:after="120" w:before="0" w:line="360" w:lineRule="auto"/>
      </w:pPr>
      <w:r>
        <w:rPr>
          <w:rFonts w:ascii="SimSun" w:hAnsi="SimSun" w:eastAsia="SimSun"/>
          <w:b w:val="0"/>
          <w:sz w:val="24"/>
        </w:rPr>
        <w:t>在校正后的M-RSEI长时序数据上，采用Savitzky-Golay（S-G）滤波进行平滑处理，滤波窗口取5至9个观测期。S-G滤波基于局部多项式最小二乘拟合，能够在有效消除年内短期波动噪声的同时，较好地保留趋势转折特征，为后续的Sen趋势分析和Pettitt变点检测提供高质量的时间序列输入。</w:t>
      </w:r>
    </w:p>
    <w:p>
      <w:pPr>
        <w:spacing w:after="120" w:before="0" w:line="360" w:lineRule="auto"/>
      </w:pPr>
      <w:r>
        <w:rPr>
          <w:rFonts w:ascii="SimHei" w:hAnsi="SimHei" w:eastAsia="SimHei"/>
          <w:b/>
          <w:sz w:val="24"/>
        </w:rPr>
        <w:t>S4：基于校正后M-RSEI长时序的生态趋势分析</w:t>
      </w:r>
    </w:p>
    <w:p>
      <w:pPr>
        <w:spacing w:after="120" w:before="0" w:line="360" w:lineRule="auto"/>
      </w:pPr>
      <w:r>
        <w:rPr>
          <w:rFonts w:ascii="SimSun" w:hAnsi="SimSun" w:eastAsia="SimSun"/>
          <w:b w:val="0"/>
          <w:sz w:val="24"/>
        </w:rPr>
        <w:t>对每个像元的M-RSEI时间序列进行趋势分析，采用Theil-Sen斜率估计和Mann-Kendall显著性检验的组合方法。Theil-Sen斜率计算公式为：β = median{(M-RSEI_j − M-RSEI_i) / (j − i)，对所有i &lt; j}，该方法取所有数据点对斜率的中位数作为趋势估计值，对异常值和缺失数据具有较强的稳健性。Mann-Kendall检验的统计量S = Σ Σ sgn(x_j − x_i)基于秩相关原理，通过标准化Z统计量判断趋势的显著性。置信水平取两个等级：95%置信水平（p &lt; 0.05对应显著变化）和90%置信水平（p &lt; 0.1对应弱显著变化）。结合Sen斜率β的正负和M-K显著性，将每个像元的变化趋势归为以下六种状态：显著改善（β &gt; 0, p &lt; 0.05）、弱改善（β &gt; 0, 0.05 ≤ p &lt; 0.1）、显著退化（β &lt; 0, p &lt; 0.05）、弱退化（β &lt; 0, 0.05 ≤ p &lt; 0.1）、稳定偏高（β ≈ 0, p ≥ 0.1, M-RSEI均值 &gt; 中位数）和稳定偏低（β ≈ 0, p ≥ 0.1, M-RSEI均值 ≤ 中位数）。</w:t>
      </w:r>
    </w:p>
    <w:p>
      <w:pPr>
        <w:spacing w:after="120" w:before="0" w:line="360" w:lineRule="auto"/>
      </w:pPr>
      <w:r>
        <w:rPr>
          <w:rFonts w:ascii="SimHei" w:hAnsi="SimHei" w:eastAsia="SimHei"/>
          <w:b/>
          <w:sz w:val="24"/>
        </w:rPr>
        <w:t>S5：生态恢复阶段自动划分与恢复速率计算</w:t>
      </w:r>
    </w:p>
    <w:p>
      <w:pPr>
        <w:spacing w:after="120" w:before="0" w:line="360" w:lineRule="auto"/>
      </w:pPr>
      <w:r>
        <w:rPr>
          <w:rFonts w:ascii="SimSun" w:hAnsi="SimSun" w:eastAsia="SimSun"/>
          <w:b w:val="0"/>
          <w:sz w:val="24"/>
        </w:rPr>
        <w:t>采用Pettitt变点检测方法识别M-RSEI时序中的均值突变位置。Pettitt检验基于Mann-Whitney两个独立样本的非参数统计量：U_t = Σ_i=1^t Σ_j=t+1^n sgn(x_i − x_j)，其中最大|U_t|值对应的位置即为最可能的变点。当检测到多个变点时，取显著性水平p &lt; 0.05的变点。第一个显著下降变点标记为开采扰动起始点，第一个显著上升变点标记为恢复起始点。</w:t>
      </w:r>
    </w:p>
    <w:p>
      <w:pPr>
        <w:spacing w:after="120" w:before="0" w:line="360" w:lineRule="auto"/>
      </w:pPr>
      <w:r>
        <w:rPr>
          <w:rFonts w:ascii="SimSun" w:hAnsi="SimSun" w:eastAsia="SimSun"/>
          <w:b w:val="0"/>
          <w:sz w:val="24"/>
        </w:rPr>
        <w:t>结合Theil-Sen斜率方向、Mann-Kendall显著性和Pettitt变点位置，按照以下判别逻辑将M-RSEI时序划分为五个阶段：</w:t>
        <w:br/>
        <w:t>（1）开采扰动期：存在显著下降变点，Sen斜率β &lt; 0且M-K检验显著（p &lt; 0.05），M-RSEI处于明显下降通道，表示采矿活动对生态环境造成持续破坏；</w:t>
        <w:br/>
        <w:t>（2）废弃初期：下降变点之后，M-RSEI处于低位（低于历史中位数），Sen斜率β ≈ 0且不显著（p ≥ 0.1），表示采矿活动停止后生态系统尚未启动恢复；</w:t>
        <w:br/>
        <w:t>（3）自然恢复期：存在上升变点，Sen斜率β &gt; 0且弱显著（0.05 ≤ p &lt; 0.1），M-RSEI缓慢上升但增速低于每年0.01，表示生态系统的自然演替恢复过程；</w:t>
        <w:br/>
        <w:t>（4）人工复垦期：Sen斜率β &gt; 0且显著（p &lt; 0.05），M-RSEI增速大于每年0.01且存在加速趋势（二次拟合系数为正），表示人工复垦措施驱动下的快速生态恢复；</w:t>
        <w:br/>
        <w:t>（5）稳定期：Sen斜率β ≈ 0且不显著（p ≥ 0.1），M-RSEI值接近扰动前参考水平（大于扰动前M-RSEI均值的90%分位数），表示生态系统达到新的稳态。</w:t>
      </w:r>
    </w:p>
    <w:p>
      <w:pPr>
        <w:spacing w:after="120" w:before="0" w:line="360" w:lineRule="auto"/>
      </w:pPr>
      <w:r>
        <w:rPr>
          <w:rFonts w:ascii="SimSun" w:hAnsi="SimSun" w:eastAsia="SimSun"/>
          <w:b w:val="0"/>
          <w:sz w:val="24"/>
        </w:rPr>
        <w:t>恢复速率计算：对于处于恢复期（自然恢复期或人工复垦期）的像元，按公式 r = (M-RSEI_end − M-RSEI_start) / Δt_year 计算逐年恢复速率，其中M-RSEI_start为恢复起始点对应的M-RSEI值，M-RSEI_end为恢复期结束点或最新观测年份的值，Δt_year为恢复时段对应的年数，r的单位为每年M-RSEI变化量。</w:t>
      </w:r>
    </w:p>
    <w:p>
      <w:pPr>
        <w:spacing w:after="120" w:before="0" w:line="360" w:lineRule="auto"/>
      </w:pPr>
      <w:r>
        <w:rPr>
          <w:rFonts w:ascii="SimSun" w:hAnsi="SimSun" w:eastAsia="SimSun"/>
          <w:b w:val="0"/>
          <w:sz w:val="24"/>
        </w:rPr>
        <w:t>空间格局分析：对矿区全域计算全局莫兰指数（Global Moran's I）和局部空间自相关指标（Local Indicators of Spatial Association, LISA），以识别恢复速率的空间聚集模式。通过LISA分析可识别四类空间聚集：高-高聚集（HH，恢复速率高值被高值包围，即恢复热点区域）、低-低聚集（LL，恢复速率低值被低值包围，即恢复冷点区域）、高-低聚集（HL）和低-高聚集（LH）。空间权重矩阵采用基于距离的一阶邻接关系构建。</w:t>
      </w:r>
    </w:p>
    <w:p>
      <w:pPr>
        <w:spacing w:after="120" w:before="0" w:line="360" w:lineRule="auto"/>
      </w:pPr>
      <w:r>
        <w:rPr>
          <w:rFonts w:ascii="SimHei" w:hAnsi="SimHei" w:eastAsia="SimHei"/>
          <w:b/>
          <w:sz w:val="24"/>
        </w:rPr>
        <w:t>S6：评价结果生成与可视化输出</w:t>
      </w:r>
    </w:p>
    <w:p>
      <w:pPr>
        <w:spacing w:after="120" w:before="0" w:line="360" w:lineRule="auto"/>
      </w:pPr>
      <w:r>
        <w:rPr>
          <w:rFonts w:ascii="SimSun" w:hAnsi="SimSun" w:eastAsia="SimSun"/>
          <w:b w:val="0"/>
          <w:sz w:val="24"/>
        </w:rPr>
        <w:t>将上述分析结果整合输出为矿区生态环境质量长时序评价产品。结果内容包括：（1）各像元的M-RSEI变化趋势分布图（六种趋势状态以不同颜色标识）；（2）各像元所属恢复阶段分布图（五个阶段以不同颜色标识）；（3）各像元恢复速率空间分布图（连续色阶渲染）；（4）恢复速率LISA聚类图（HH、HL、LH、LL四类以不同颜色标识）；（5）矿区全域统计汇总表，包含各趋势状态占比、各阶段面积和占比、平均恢复速率等信息。输出格式同时支持矢量面格式（ESRI Shapefile）和栅格格式（GeoTIFF），属性表包含Sen斜率、M-K p值、阶段编码、恢复速率和LISA类型等字段。同步生成HTML交互式地图，支持按像元点击查询完整的M-RSEI时序曲线。</w:t>
      </w:r>
    </w:p>
    <w:p>
      <w:pPr>
        <w:spacing w:before="160" w:after="80" w:line="360" w:lineRule="auto"/>
        <w:jc w:val="left"/>
      </w:pPr>
      <w:r>
        <w:rPr>
          <w:rFonts w:ascii="SimHei" w:hAnsi="SimHei" w:eastAsia="SimHei"/>
          <w:b/>
          <w:sz w:val="28"/>
        </w:rPr>
        <w:t>4.3 有益效果</w:t>
      </w:r>
    </w:p>
    <w:p>
      <w:pPr>
        <w:spacing w:after="120" w:before="0" w:line="360" w:lineRule="auto"/>
      </w:pPr>
      <w:r>
        <w:rPr>
          <w:rFonts w:ascii="SimSun" w:hAnsi="SimSun" w:eastAsia="SimSun"/>
          <w:b w:val="0"/>
          <w:sz w:val="24"/>
        </w:rPr>
        <w:t>与现有技术相比，本发明具有以下有益效果：</w:t>
      </w:r>
    </w:p>
    <w:p>
      <w:pPr>
        <w:spacing w:after="120" w:before="0" w:line="360" w:lineRule="auto"/>
      </w:pPr>
      <w:r>
        <w:rPr>
          <w:rFonts w:ascii="SimSun" w:hAnsi="SimSun" w:eastAsia="SimSun"/>
          <w:b w:val="0"/>
          <w:sz w:val="24"/>
        </w:rPr>
        <w:t>（1）引入矿区专属的采矿扰动指数MDI和煤粉尘影响指数CDI，将标准RSEI的四分量体系扩展为六分量体系，通过PCA自动赋权合成M-RSEI。MDI利用两个短波红外波段的差值比值对矿渣裸土进行光谱增强，CDI利用蓝波段和短波红外的比值捕获煤粉尘的光学响应信号，有效弥补了标准RSEI在矿区特殊地表类型识别上的不足，矿区裸土和煤粉尘影响区域的生态评估精度较标准RSEI显著提升。</w:t>
      </w:r>
    </w:p>
    <w:p>
      <w:pPr>
        <w:spacing w:after="120" w:before="0" w:line="360" w:lineRule="auto"/>
      </w:pPr>
      <w:r>
        <w:rPr>
          <w:rFonts w:ascii="SimSun" w:hAnsi="SimSun" w:eastAsia="SimSun"/>
          <w:b w:val="0"/>
          <w:sz w:val="24"/>
        </w:rPr>
        <w:t>（2）提出基于双稳定要素PIFs的跨传感器一致性校正方法，融合地形稳定要素（山脊线、基岩露头、未扰动陡坡）和人工稳定要素（成熟复垦林地、永久建筑）双重伪不变特征，确保PIFs在数十年时间尺度上的稳定性（反射率CV &lt; 3%），实现TM、ETM+和OLI三代传感器之间M-RSEI各分量的光谱一致性校正，为构建35年以上的连续可比长时序矿区生态评估提供了坚实的技术基础。</w:t>
      </w:r>
    </w:p>
    <w:p>
      <w:pPr>
        <w:spacing w:after="120" w:before="0" w:line="360" w:lineRule="auto"/>
      </w:pPr>
      <w:r>
        <w:rPr>
          <w:rFonts w:ascii="SimSun" w:hAnsi="SimSun" w:eastAsia="SimSun"/>
          <w:b w:val="0"/>
          <w:sz w:val="24"/>
        </w:rPr>
        <w:t>（3）首次将Theil-Sen斜率估计、Mann-Kendall显著性检验和Pettitt变点检测三者联合应用于矿区RSEI长时序分析，实现了开采扰动期、废弃初期、自然恢复期、人工复垦期和稳定期的自动划分，无需人工设定阈值，划分逻辑具有明确的物理意义和统计基础，能够客观反映矿区生态系统从破坏到恢复的完整生命周期。</w:t>
      </w:r>
    </w:p>
    <w:p>
      <w:pPr>
        <w:spacing w:after="120" w:before="0" w:line="360" w:lineRule="auto"/>
      </w:pPr>
      <w:r>
        <w:rPr>
          <w:rFonts w:ascii="SimSun" w:hAnsi="SimSun" w:eastAsia="SimSun"/>
          <w:b w:val="0"/>
          <w:sz w:val="24"/>
        </w:rPr>
        <w:t>（4）通过逐像素恢复速率计算和空间自相关（Global Moran's I和LISA）冷热点分析，定量揭示了矿区生态恢复的空间格局和聚集特征，能够识别恢复效果显著的区域（恢复热点）和恢复滞后的区域（恢复冷点），为矿区生态修复的精准施策提供空间决策支持。</w:t>
      </w:r>
    </w:p>
    <w:p>
      <w:pPr>
        <w:spacing w:after="120" w:before="0" w:line="360" w:lineRule="auto"/>
      </w:pPr>
      <w:r>
        <w:rPr>
          <w:rFonts w:ascii="SimSun" w:hAnsi="SimSun" w:eastAsia="SimSun"/>
          <w:b w:val="0"/>
          <w:sz w:val="24"/>
        </w:rPr>
        <w:t>（5）本发明方法全流程均可自动化实现，从Landsat影像获取到最终评价结果输出，支持大面积矿区的批量处理。方法基于完全免费的Landsat数据和开源算法库，具有成本低、可复现性强、推广性好的优势，适用于不同类型矿区（露天煤矿、井工煤矿、金属矿山）的生态环境质量长时序评价。</w:t>
      </w:r>
    </w:p>
    <w:p>
      <w:pPr>
        <w:spacing w:before="240" w:after="120" w:line="360" w:lineRule="auto"/>
        <w:jc w:val="left"/>
      </w:pPr>
      <w:r>
        <w:rPr>
          <w:rFonts w:ascii="SimHei" w:hAnsi="SimHei" w:eastAsia="SimHei"/>
          <w:b/>
          <w:sz w:val="34"/>
        </w:rPr>
        <w:t>五、附图说明</w:t>
      </w:r>
    </w:p>
    <w:p>
      <w:pPr>
        <w:spacing w:after="120" w:before="0" w:line="360" w:lineRule="auto"/>
      </w:pPr>
      <w:r>
        <w:rPr>
          <w:rFonts w:ascii="SimSun" w:hAnsi="SimSun" w:eastAsia="SimSun"/>
          <w:b w:val="0"/>
          <w:sz w:val="24"/>
        </w:rPr>
        <w:t>图1：本发明方法的总体技术流程图。</w:t>
      </w:r>
    </w:p>
    <w:p>
      <w:pPr>
        <w:spacing w:after="120" w:before="0" w:line="360" w:lineRule="auto"/>
      </w:pPr>
      <w:r>
        <w:rPr>
          <w:rFonts w:ascii="SimSun" w:hAnsi="SimSun" w:eastAsia="SimSun"/>
          <w:b w:val="0"/>
          <w:sz w:val="24"/>
        </w:rPr>
        <w:t>图2：M-RSEI六分量计算流程图，展示从Landsat地表反射率到六分量指标再到PCA合成M-RSEI的完整计算链。</w:t>
      </w:r>
    </w:p>
    <w:p>
      <w:pPr>
        <w:spacing w:after="120" w:before="0" w:line="360" w:lineRule="auto"/>
      </w:pPr>
      <w:r>
        <w:rPr>
          <w:rFonts w:ascii="SimSun" w:hAnsi="SimSun" w:eastAsia="SimSun"/>
          <w:b w:val="0"/>
          <w:sz w:val="24"/>
        </w:rPr>
        <w:t>图3：双稳定要素PIFs选取示意图，展示地形稳定要素（山脊线、基岩露头、陡坡）和人工稳定要素（成熟复垦林地、永久建筑）的空间分布。</w:t>
      </w:r>
    </w:p>
    <w:p>
      <w:pPr>
        <w:spacing w:after="120" w:before="0" w:line="360" w:lineRule="auto"/>
      </w:pPr>
      <w:r>
        <w:rPr>
          <w:rFonts w:ascii="SimSun" w:hAnsi="SimSun" w:eastAsia="SimSun"/>
          <w:b w:val="0"/>
          <w:sz w:val="24"/>
        </w:rPr>
        <w:t>图4：Theil-Sen斜率和Mann-Kendall显著性检验趋势分析图，展示矿区全域六种趋势状态的空间分布。</w:t>
      </w:r>
    </w:p>
    <w:p>
      <w:pPr>
        <w:spacing w:after="120" w:before="0" w:line="360" w:lineRule="auto"/>
      </w:pPr>
      <w:r>
        <w:rPr>
          <w:rFonts w:ascii="SimSun" w:hAnsi="SimSun" w:eastAsia="SimSun"/>
          <w:b w:val="0"/>
          <w:sz w:val="24"/>
        </w:rPr>
        <w:t>图5：Pettitt变点检测与五阶段划分示意图，展示典型像元的M-RSEI时序曲线及五个阶段的划分结果。</w:t>
      </w:r>
    </w:p>
    <w:p>
      <w:pPr>
        <w:spacing w:after="120" w:before="0" w:line="360" w:lineRule="auto"/>
      </w:pPr>
      <w:r>
        <w:rPr>
          <w:rFonts w:ascii="SimSun" w:hAnsi="SimSun" w:eastAsia="SimSun"/>
          <w:b w:val="0"/>
          <w:sz w:val="24"/>
        </w:rPr>
        <w:t>图6：恢复速率LISA空间自相关冷热点分析图，展示恢复热点（HH）和恢复冷点（LL）的空间聚集格局。</w:t>
      </w:r>
    </w:p>
    <w:p>
      <w:pPr>
        <w:spacing w:after="120" w:before="0" w:line="360" w:lineRule="auto"/>
      </w:pPr>
      <w:r>
        <w:rPr>
          <w:rFonts w:ascii="SimSun" w:hAnsi="SimSun" w:eastAsia="SimSun"/>
          <w:b w:val="0"/>
          <w:sz w:val="24"/>
        </w:rPr>
        <w:t>图7：矿区全生命周期RSEI时空动态图谱，以多年M-RSEI均值合成图展示矿区生态环境质量的整体演变。</w:t>
      </w:r>
    </w:p>
    <w:p>
      <w:pPr>
        <w:spacing w:before="240" w:after="120" w:line="360" w:lineRule="auto"/>
        <w:jc w:val="left"/>
      </w:pPr>
      <w:r>
        <w:rPr>
          <w:rFonts w:ascii="SimHei" w:hAnsi="SimHei" w:eastAsia="SimHei"/>
          <w:b/>
          <w:sz w:val="34"/>
        </w:rPr>
        <w:t>六、具体实施方式</w:t>
      </w:r>
    </w:p>
    <w:p>
      <w:pPr>
        <w:spacing w:after="120" w:before="0" w:line="360" w:lineRule="auto"/>
      </w:pPr>
      <w:r>
        <w:rPr>
          <w:rFonts w:ascii="SimSun" w:hAnsi="SimSun" w:eastAsia="SimSun"/>
          <w:b w:val="0"/>
          <w:sz w:val="24"/>
        </w:rPr>
        <w:t>为使本发明的目的、技术方案和优点更加清楚，下面结合具体实施例对本发明作进一步详细说明。应当理解，此处描述的具体实施例仅用以解释本发明，并不用于限定本发明。</w:t>
      </w:r>
    </w:p>
    <w:p>
      <w:pPr>
        <w:spacing w:before="160" w:after="80" w:line="360" w:lineRule="auto"/>
        <w:jc w:val="left"/>
      </w:pPr>
      <w:r>
        <w:rPr>
          <w:rFonts w:ascii="SimHei" w:hAnsi="SimHei" w:eastAsia="SimHei"/>
          <w:b/>
          <w:sz w:val="28"/>
        </w:rPr>
        <w:t>实施例1：山西平朔露天煤矿区1987-2023年长时序生态评价</w:t>
      </w:r>
    </w:p>
    <w:p>
      <w:pPr>
        <w:spacing w:after="120" w:before="0" w:line="360" w:lineRule="auto"/>
      </w:pPr>
      <w:r>
        <w:rPr>
          <w:rFonts w:ascii="SimSun" w:hAnsi="SimSun" w:eastAsia="SimSun"/>
          <w:b w:val="0"/>
          <w:sz w:val="24"/>
        </w:rPr>
        <w:t>数据来源：本实施例以山西省朔州市平朔露天煤矿区为研究对象，矿区面积约380 km²。获取Landsat 5 TM（1987-2011年在轨）、Landsat 7 ETM+（1999-2020年在轨，2003年后SLC-off）和Landsat 8 OLI（2013年至今）共计1987-2023年37年的影像数据。为消除季节性差异对M-RSEI的影响，每年选取生长季（6月至9月）的影像，当单年有多个可用时相时采用中值合成方法生成年度代表影像。Landsat 7 ETM+的SLC-off条带采用NSPI算法修复，且仅在同期Landsat 5或Landsat 8数据不可用时才纳入修复数据。所有影像采用USGS Collection 2 Level-2地表反射率产品，已包含辐射定标和基于6S辐射传输模型的大气校正。影像配准后空间分辨率统一为30米，投影为UTM Zone 49N。</w:t>
      </w:r>
    </w:p>
    <w:p>
      <w:pPr>
        <w:spacing w:after="120" w:before="0" w:line="360" w:lineRule="auto"/>
      </w:pPr>
      <w:r>
        <w:rPr>
          <w:rFonts w:ascii="SimSun" w:hAnsi="SimSun" w:eastAsia="SimSun"/>
          <w:b w:val="0"/>
          <w:sz w:val="24"/>
        </w:rPr>
        <w:t>M-RSEI计算与PCA分析：对1987-2023年每年生长季影像计算NDVI、WET、LST、NDBSI、MDI和CDI六个分量。以1987-2023年全部时相合并进行主成分分析，第一主成分PC1解释总方差的78.3%，表明六分量在PC1中已有较好的信息凝聚。各分量在PC1中的载荷系数为：NDVI = +0.42、WET = +0.31、LST = −0.28、NDBSI = −0.35、MDI = −0.22、CDI = −0.18。NDVI和WET呈正载荷（生态正贡献），LST、NDBSI、MDI和CDI呈负载荷（生态负贡献），各分量载荷符号符合生态学原理，新增的MDI和CDI分量均表现出合理的负向贡献。</w:t>
      </w:r>
    </w:p>
    <w:p>
      <w:pPr>
        <w:spacing w:after="120" w:before="0" w:line="360" w:lineRule="auto"/>
      </w:pPr>
      <w:r>
        <w:rPr>
          <w:rFonts w:ascii="SimSun" w:hAnsi="SimSun" w:eastAsia="SimSun"/>
          <w:b w:val="0"/>
          <w:sz w:val="24"/>
        </w:rPr>
        <w:t>跨传感器校正：双稳定要素PIFs共选取42个点，其中地形稳定要素28个（包括安太堡矿区南侧山脊线10个点、基岩露头区8个点和坡度&gt;15°的未扰动山坡10个点），人工稳定要素14个（包括复垦年限&gt;10年的成熟刺槐林地8个点和矿区永久建筑6个点）。所有PIFs在多期影像中的六分量反射率变异系数CV均小于2.8%，满足CV&lt;3%的伪不变条件。利用1999-2011年TM-ETM+重叠期和2013-2020年ETM+-OLI重叠期数据，分别建立传感器间六分量线性转换函数，转换函数决定系数R²均大于0.91，校正效果良好。S-G滤波窗口取7个观测期，有效消除了年内短波动力噪声。</w:t>
      </w:r>
    </w:p>
    <w:p>
      <w:pPr>
        <w:spacing w:after="120" w:before="0" w:line="360" w:lineRule="auto"/>
      </w:pPr>
      <w:r>
        <w:rPr>
          <w:rFonts w:ascii="SimSun" w:hAnsi="SimSun" w:eastAsia="SimSun"/>
          <w:b w:val="0"/>
          <w:sz w:val="24"/>
        </w:rPr>
        <w:t>长时序评价结果：平朔矿区全域1987年M-RSEI均值为0.52，随着安太堡露天矿1987年投产和安家岭露天矿1998年投产，M-RSEI均值在开采高峰期2005年降至0.31（降幅40.4%）。此后随着大规模复垦工程实施，2023年M-RSEI均值恢复至0.48，接近扰动前水平的92%。</w:t>
        <w:br/>
        <w:t>Theil-Sen趋势分析显示：56.2%的像元呈显著改善趋势（主要分布在排土场复垦区域），18.7%的像元呈显著退化趋势（主要分布在仍在开采的矿坑区域），25.1%的像元无显著变化。</w:t>
        <w:br/>
        <w:t>恢复速率：人工复垦区平均恢复速率为0.011/年，自然恢复区平均恢复速率为0.004/年，人工复垦的恢复速率约为自然恢复的2.75倍。</w:t>
        <w:br/>
        <w:t>LISA空间自相关分析：识别出4个显著恢复热点（HH聚集，位于西排土场、南排土场、内排土场和安家岭复垦区）和2个恢复冷点（LL聚集，位于安太堡和安家岭仍在开采的主矿坑）。全局Moran's I = 0.37（p &lt; 0.001），表明恢复速率具有显著的正空间自相关。</w:t>
        <w:br/>
        <w:t>五阶段分布：开采扰动期12.3%，废弃初期5.8%，自然恢复期28.4%，人工复垦期35.2%，稳定期18.3%。与平朔矿区历年开采进度图和复垦台账进行交叉验证，阶段划分的总体准确率为83.6%，其中人工复垦期和开采扰动期的识别精度分别达到88.2%和85.7%。</w:t>
      </w:r>
    </w:p>
    <w:p>
      <w:pPr>
        <w:spacing w:before="160" w:after="80" w:line="360" w:lineRule="auto"/>
        <w:jc w:val="left"/>
      </w:pPr>
      <w:r>
        <w:rPr>
          <w:rFonts w:ascii="SimHei" w:hAnsi="SimHei" w:eastAsia="SimHei"/>
          <w:b/>
          <w:sz w:val="28"/>
        </w:rPr>
        <w:t>实施例2：安徽淮南煤矿塌陷区2000-2023年长时序生态评价</w:t>
      </w:r>
    </w:p>
    <w:p>
      <w:pPr>
        <w:spacing w:after="120" w:before="0" w:line="360" w:lineRule="auto"/>
      </w:pPr>
      <w:r>
        <w:rPr>
          <w:rFonts w:ascii="SimSun" w:hAnsi="SimSun" w:eastAsia="SimSun"/>
          <w:b w:val="0"/>
          <w:sz w:val="24"/>
        </w:rPr>
        <w:t>数据来源：本实施例以安徽省淮南煤矿区为研究对象。淮南矿区以地下井工开采为主，地表以采煤塌陷积水区为典型特征，与实施例1的露天开采在生态退化模式上存在显著差异。获取2000-2023年Landsat全系列影像，数据处理流程与实施例1一致。</w:t>
      </w:r>
    </w:p>
    <w:p>
      <w:pPr>
        <w:spacing w:after="120" w:before="0" w:line="360" w:lineRule="auto"/>
      </w:pPr>
      <w:r>
        <w:rPr>
          <w:rFonts w:ascii="SimSun" w:hAnsi="SimSun" w:eastAsia="SimSun"/>
          <w:b w:val="0"/>
          <w:sz w:val="24"/>
        </w:rPr>
        <w:t>M-RSEI分量贡献特征：淮南矿区六分量PCA结果显示，WET和NDBSI在PC1中的贡献高于平朔露天煤矿区——WET载荷为+0.38（vs. 平朔+0.31），NDBSI载荷为−0.41（vs. 平朔−0.35）。这一模式与淮南矿区大面积塌陷积水区（WET高值）和裸露塌陷边缘（NDBSI高值）的特有景观格局一致。CDI的贡献较小（−0.09），这与淮南矿区以地下开采为主、露天煤尘源较少的情况相符，验证了CDI指数的合理性。</w:t>
      </w:r>
    </w:p>
    <w:p>
      <w:pPr>
        <w:spacing w:after="120" w:before="0" w:line="360" w:lineRule="auto"/>
      </w:pPr>
      <w:r>
        <w:rPr>
          <w:rFonts w:ascii="SimSun" w:hAnsi="SimSun" w:eastAsia="SimSun"/>
          <w:b w:val="0"/>
          <w:sz w:val="24"/>
        </w:rPr>
        <w:t>塌陷积水区的特殊响应特征：淮南矿区塌陷积水区在M-RSEI时序上表现出特殊响应——积水初期由于WET分量的增高，M-RSEI反而出现约1-2年的假性回升，随后随着整体生态系统的持续退化，M-RSEI呈现长期下降趋势。这一现象在标准RSEI中也存在，但M-RSEI因MDI和CDI的引入，假性回升的幅度有所降低。</w:t>
        <w:br/>
        <w:t>评价结果：M-RSEI均值从2000年的0.61降至2015年的0.43，至2023年部分恢复至0.54。Pettitt变点检测识别出2009年的开采加速变点（与淮南矿区2009年原煤产量创历史新高的记录一致）和2016年的综合治理启动变点（与淮南市2016年启动的采煤沉陷区综合治理规划一致）。恢复阶段划分：44.7%的像元处于自然恢复期，21.3%处于人工复垦期。地下水恢复滞后于地表植被恢复是淮南矿区的关键瓶颈——采煤塌陷区农田复垦后，M-RSEI恢复速率仅为露天煤矿复垦区的60%左右。与同期矿区水土保持监测数据交叉验证，M-RSEI趋势与实测土壤有机质含量变化的相关性r = 0.78（p &lt; 0.01），表明M-RSEI能够较好地反映矿区生态系统的实际恢复状况。</w:t>
      </w:r>
    </w:p>
    <w:p>
      <w:pPr>
        <w:spacing w:before="160" w:after="80" w:line="360" w:lineRule="auto"/>
        <w:jc w:val="left"/>
      </w:pPr>
      <w:r>
        <w:rPr>
          <w:rFonts w:ascii="SimHei" w:hAnsi="SimHei" w:eastAsia="SimHei"/>
          <w:b/>
          <w:sz w:val="28"/>
        </w:rPr>
        <w:t>实施例3：全流程自动化处理系统</w:t>
      </w:r>
    </w:p>
    <w:p>
      <w:pPr>
        <w:spacing w:after="120" w:before="0" w:line="360" w:lineRule="auto"/>
      </w:pPr>
      <w:r>
        <w:rPr>
          <w:rFonts w:ascii="SimSun" w:hAnsi="SimSun" w:eastAsia="SimSun"/>
          <w:b w:val="0"/>
          <w:sz w:val="24"/>
        </w:rPr>
        <w:t>本实施例展示本发明的全流程自动化实现方案，适用于大面积多矿区的批量处理。系统架构如下：（1）数据获取层：基于Google Earth Engine（GEE）Python API批量导出Landsat Collection 2地表反射率影像，按年度生长季中值合成，自动完成云掩膜和裁剪；（2）处理管线层：基于有向无环图（DAG）构建处理管线，利用GDAL进行并行预处理，调用scikit-learn进行主成分分析，调用scipy和pymannkendall进行趋势检验和变点检测，调用PySAL进行空间自相关分析；（3）输出层：利用Matplotlib和Geopandas生成专题地图，利用Folium生成HTML交互式地图。</w:t>
      </w:r>
    </w:p>
    <w:p>
      <w:pPr>
        <w:spacing w:after="120" w:before="0" w:line="360" w:lineRule="auto"/>
      </w:pPr>
      <w:r>
        <w:rPr>
          <w:rFonts w:ascii="SimSun" w:hAnsi="SimSun" w:eastAsia="SimSun"/>
          <w:b w:val="0"/>
          <w:sz w:val="24"/>
        </w:rPr>
        <w:t>验证方案：在三个不同类型煤矿区——山西平朔露天煤矿区（露天开采）、安徽淮南煤矿区（地下开采沉陷型）和陕西神东井工煤矿区（井工开采干旱区）——进行部署验证。在16核、64GB内存的服务器环境下，1000 km²矿区面积的全流程处理时间小于2小时。HTML交互式地图支持按像元点击查询完整的M-RSEI时序曲线，以及趋势分析、阶段划分和恢复速率等全部属性信息的在线浏览和导出。</w:t>
      </w:r>
    </w:p>
    <w:p>
      <w:pPr>
        <w:spacing w:before="160" w:after="80" w:line="360" w:lineRule="auto"/>
        <w:jc w:val="left"/>
      </w:pPr>
      <w:r>
        <w:rPr>
          <w:rFonts w:ascii="SimHei" w:hAnsi="SimHei" w:eastAsia="SimHei"/>
          <w:b/>
          <w:sz w:val="28"/>
        </w:rPr>
        <w:t>关键参数汇总</w:t>
      </w:r>
    </w:p>
    <w:p>
      <w:pPr>
        <w:spacing w:after="120" w:before="0" w:line="360" w:lineRule="auto"/>
      </w:pPr>
      <w:r>
        <w:rPr>
          <w:rFonts w:ascii="SimSun" w:hAnsi="SimSun" w:eastAsia="SimSun"/>
          <w:b w:val="0"/>
          <w:sz w:val="24"/>
        </w:rPr>
        <w:t>下表汇总了本发明方法中的关键参数及其取值范围和优选值：</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81"/>
            <w:shd w:fill="2E75B6" w:val="clear"/>
          </w:tcPr>
          <w:p>
            <w:pPr>
              <w:spacing w:before="40" w:after="40"/>
              <w:jc w:val="center"/>
            </w:pPr>
            <w:r>
              <w:rPr>
                <w:rFonts w:ascii="SimHei" w:hAnsi="SimHei" w:eastAsia="SimHei"/>
                <w:b/>
                <w:color w:val="FFFFFF"/>
                <w:sz w:val="18"/>
              </w:rPr>
              <w:t>参数名称</w:t>
            </w:r>
          </w:p>
        </w:tc>
        <w:tc>
          <w:tcPr>
            <w:tcW w:type="dxa" w:w="3118"/>
            <w:shd w:fill="2E75B6" w:val="clear"/>
          </w:tcPr>
          <w:p>
            <w:pPr>
              <w:spacing w:before="40" w:after="40"/>
              <w:jc w:val="center"/>
            </w:pPr>
            <w:r>
              <w:rPr>
                <w:rFonts w:ascii="SimHei" w:hAnsi="SimHei" w:eastAsia="SimHei"/>
                <w:b/>
                <w:color w:val="FFFFFF"/>
                <w:sz w:val="18"/>
              </w:rPr>
              <w:t>参数说明</w:t>
            </w:r>
          </w:p>
        </w:tc>
        <w:tc>
          <w:tcPr>
            <w:tcW w:type="dxa" w:w="1701"/>
            <w:shd w:fill="2E75B6" w:val="clear"/>
          </w:tcPr>
          <w:p>
            <w:pPr>
              <w:spacing w:before="40" w:after="40"/>
              <w:jc w:val="center"/>
            </w:pPr>
            <w:r>
              <w:rPr>
                <w:rFonts w:ascii="SimHei" w:hAnsi="SimHei" w:eastAsia="SimHei"/>
                <w:b/>
                <w:color w:val="FFFFFF"/>
                <w:sz w:val="18"/>
              </w:rPr>
              <w:t>取值范围</w:t>
            </w:r>
          </w:p>
        </w:tc>
        <w:tc>
          <w:tcPr>
            <w:tcW w:type="dxa" w:w="1417"/>
            <w:shd w:fill="2E75B6" w:val="clear"/>
          </w:tcPr>
          <w:p>
            <w:pPr>
              <w:spacing w:before="40" w:after="40"/>
              <w:jc w:val="center"/>
            </w:pPr>
            <w:r>
              <w:rPr>
                <w:rFonts w:ascii="SimHei" w:hAnsi="SimHei" w:eastAsia="SimHei"/>
                <w:b/>
                <w:color w:val="FFFFFF"/>
                <w:sz w:val="18"/>
              </w:rPr>
              <w:t>优选值</w:t>
            </w:r>
          </w:p>
        </w:tc>
      </w:tr>
      <w:tr>
        <w:tc>
          <w:tcPr>
            <w:tcW w:type="dxa" w:w="2381"/>
          </w:tcPr>
          <w:p>
            <w:pPr>
              <w:spacing w:before="40" w:after="40"/>
              <w:jc w:val="left"/>
            </w:pPr>
            <w:r>
              <w:rPr>
                <w:rFonts w:ascii="SimSun" w:hAnsi="SimSun" w:eastAsia="SimSun"/>
                <w:b w:val="0"/>
                <w:sz w:val="18"/>
              </w:rPr>
              <w:t>S-G滤波窗口</w:t>
            </w:r>
          </w:p>
        </w:tc>
        <w:tc>
          <w:tcPr>
            <w:tcW w:type="dxa" w:w="3118"/>
          </w:tcPr>
          <w:p>
            <w:pPr>
              <w:spacing w:before="40" w:after="40"/>
              <w:jc w:val="center"/>
            </w:pPr>
            <w:r>
              <w:rPr>
                <w:rFonts w:ascii="SimSun" w:hAnsi="SimSun" w:eastAsia="SimSun"/>
                <w:b w:val="0"/>
                <w:sz w:val="18"/>
              </w:rPr>
              <w:t>Savitzky-Golay滤波窗口观测期数</w:t>
            </w:r>
          </w:p>
        </w:tc>
        <w:tc>
          <w:tcPr>
            <w:tcW w:type="dxa" w:w="1701"/>
          </w:tcPr>
          <w:p>
            <w:pPr>
              <w:spacing w:before="40" w:after="40"/>
              <w:jc w:val="center"/>
            </w:pPr>
            <w:r>
              <w:rPr>
                <w:rFonts w:ascii="SimSun" w:hAnsi="SimSun" w:eastAsia="SimSun"/>
                <w:b w:val="0"/>
                <w:sz w:val="18"/>
              </w:rPr>
              <w:t>3-15</w:t>
            </w:r>
          </w:p>
        </w:tc>
        <w:tc>
          <w:tcPr>
            <w:tcW w:type="dxa" w:w="1417"/>
          </w:tcPr>
          <w:p>
            <w:pPr>
              <w:spacing w:before="40" w:after="40"/>
              <w:jc w:val="center"/>
            </w:pPr>
            <w:r>
              <w:rPr>
                <w:rFonts w:ascii="SimSun" w:hAnsi="SimSun" w:eastAsia="SimSun"/>
                <w:b w:val="0"/>
                <w:sz w:val="18"/>
              </w:rPr>
              <w:t>7</w:t>
            </w:r>
          </w:p>
        </w:tc>
      </w:tr>
      <w:tr>
        <w:tc>
          <w:tcPr>
            <w:tcW w:type="dxa" w:w="2381"/>
          </w:tcPr>
          <w:p>
            <w:pPr>
              <w:spacing w:before="40" w:after="40"/>
              <w:jc w:val="left"/>
            </w:pPr>
            <w:r>
              <w:rPr>
                <w:rFonts w:ascii="SimSun" w:hAnsi="SimSun" w:eastAsia="SimSun"/>
                <w:b w:val="0"/>
                <w:sz w:val="18"/>
              </w:rPr>
              <w:t>PCA分量数</w:t>
            </w:r>
          </w:p>
        </w:tc>
        <w:tc>
          <w:tcPr>
            <w:tcW w:type="dxa" w:w="3118"/>
          </w:tcPr>
          <w:p>
            <w:pPr>
              <w:spacing w:before="40" w:after="40"/>
              <w:jc w:val="center"/>
            </w:pPr>
            <w:r>
              <w:rPr>
                <w:rFonts w:ascii="SimSun" w:hAnsi="SimSun" w:eastAsia="SimSun"/>
                <w:b w:val="0"/>
                <w:sz w:val="18"/>
              </w:rPr>
              <w:t>主成分分析保留分量数</w:t>
            </w:r>
          </w:p>
        </w:tc>
        <w:tc>
          <w:tcPr>
            <w:tcW w:type="dxa" w:w="1701"/>
          </w:tcPr>
          <w:p>
            <w:pPr>
              <w:spacing w:before="40" w:after="40"/>
              <w:jc w:val="center"/>
            </w:pPr>
            <w:r>
              <w:rPr>
                <w:rFonts w:ascii="SimSun" w:hAnsi="SimSun" w:eastAsia="SimSun"/>
                <w:b w:val="0"/>
                <w:sz w:val="18"/>
              </w:rPr>
              <w:t>3-6</w:t>
            </w:r>
          </w:p>
        </w:tc>
        <w:tc>
          <w:tcPr>
            <w:tcW w:type="dxa" w:w="1417"/>
          </w:tcPr>
          <w:p>
            <w:pPr>
              <w:spacing w:before="40" w:after="40"/>
              <w:jc w:val="center"/>
            </w:pPr>
            <w:r>
              <w:rPr>
                <w:rFonts w:ascii="SimSun" w:hAnsi="SimSun" w:eastAsia="SimSun"/>
                <w:b w:val="0"/>
                <w:sz w:val="18"/>
              </w:rPr>
              <w:t>6</w:t>
            </w:r>
          </w:p>
        </w:tc>
      </w:tr>
      <w:tr>
        <w:tc>
          <w:tcPr>
            <w:tcW w:type="dxa" w:w="2381"/>
          </w:tcPr>
          <w:p>
            <w:pPr>
              <w:spacing w:before="40" w:after="40"/>
              <w:jc w:val="left"/>
            </w:pPr>
            <w:r>
              <w:rPr>
                <w:rFonts w:ascii="SimSun" w:hAnsi="SimSun" w:eastAsia="SimSun"/>
                <w:b w:val="0"/>
                <w:sz w:val="18"/>
              </w:rPr>
              <w:t>PIFs CV阈值</w:t>
            </w:r>
          </w:p>
        </w:tc>
        <w:tc>
          <w:tcPr>
            <w:tcW w:type="dxa" w:w="3118"/>
          </w:tcPr>
          <w:p>
            <w:pPr>
              <w:spacing w:before="40" w:after="40"/>
              <w:jc w:val="center"/>
            </w:pPr>
            <w:r>
              <w:rPr>
                <w:rFonts w:ascii="SimSun" w:hAnsi="SimSun" w:eastAsia="SimSun"/>
                <w:b w:val="0"/>
                <w:sz w:val="18"/>
              </w:rPr>
              <w:t>伪不变特征点反射率变异系数上限</w:t>
            </w:r>
          </w:p>
        </w:tc>
        <w:tc>
          <w:tcPr>
            <w:tcW w:type="dxa" w:w="1701"/>
          </w:tcPr>
          <w:p>
            <w:pPr>
              <w:spacing w:before="40" w:after="40"/>
              <w:jc w:val="center"/>
            </w:pPr>
            <w:r>
              <w:rPr>
                <w:rFonts w:ascii="SimSun" w:hAnsi="SimSun" w:eastAsia="SimSun"/>
                <w:b w:val="0"/>
                <w:sz w:val="18"/>
              </w:rPr>
              <w:t>2%-5%</w:t>
            </w:r>
          </w:p>
        </w:tc>
        <w:tc>
          <w:tcPr>
            <w:tcW w:type="dxa" w:w="1417"/>
          </w:tcPr>
          <w:p>
            <w:pPr>
              <w:spacing w:before="40" w:after="40"/>
              <w:jc w:val="center"/>
            </w:pPr>
            <w:r>
              <w:rPr>
                <w:rFonts w:ascii="SimSun" w:hAnsi="SimSun" w:eastAsia="SimSun"/>
                <w:b w:val="0"/>
                <w:sz w:val="18"/>
              </w:rPr>
              <w:t>3%</w:t>
            </w:r>
          </w:p>
        </w:tc>
      </w:tr>
      <w:tr>
        <w:tc>
          <w:tcPr>
            <w:tcW w:type="dxa" w:w="2381"/>
          </w:tcPr>
          <w:p>
            <w:pPr>
              <w:spacing w:before="40" w:after="40"/>
              <w:jc w:val="left"/>
            </w:pPr>
            <w:r>
              <w:rPr>
                <w:rFonts w:ascii="SimSun" w:hAnsi="SimSun" w:eastAsia="SimSun"/>
                <w:b w:val="0"/>
                <w:sz w:val="18"/>
              </w:rPr>
              <w:t>M-K显著性水平(严格)</w:t>
            </w:r>
          </w:p>
        </w:tc>
        <w:tc>
          <w:tcPr>
            <w:tcW w:type="dxa" w:w="3118"/>
          </w:tcPr>
          <w:p>
            <w:pPr>
              <w:spacing w:before="40" w:after="40"/>
              <w:jc w:val="center"/>
            </w:pPr>
            <w:r>
              <w:rPr>
                <w:rFonts w:ascii="SimSun" w:hAnsi="SimSun" w:eastAsia="SimSun"/>
                <w:b w:val="0"/>
                <w:sz w:val="18"/>
              </w:rPr>
              <w:t>Mann-Kendall显著性检验α</w:t>
            </w:r>
          </w:p>
        </w:tc>
        <w:tc>
          <w:tcPr>
            <w:tcW w:type="dxa" w:w="1701"/>
          </w:tcPr>
          <w:p>
            <w:pPr>
              <w:spacing w:before="40" w:after="40"/>
              <w:jc w:val="center"/>
            </w:pPr>
            <w:r>
              <w:rPr>
                <w:rFonts w:ascii="SimSun" w:hAnsi="SimSun" w:eastAsia="SimSun"/>
                <w:b w:val="0"/>
                <w:sz w:val="18"/>
              </w:rPr>
              <w:t>0.01-0.10</w:t>
            </w:r>
          </w:p>
        </w:tc>
        <w:tc>
          <w:tcPr>
            <w:tcW w:type="dxa" w:w="1417"/>
          </w:tcPr>
          <w:p>
            <w:pPr>
              <w:spacing w:before="40" w:after="40"/>
              <w:jc w:val="center"/>
            </w:pPr>
            <w:r>
              <w:rPr>
                <w:rFonts w:ascii="SimSun" w:hAnsi="SimSun" w:eastAsia="SimSun"/>
                <w:b w:val="0"/>
                <w:sz w:val="18"/>
              </w:rPr>
              <w:t>0.05</w:t>
            </w:r>
          </w:p>
        </w:tc>
      </w:tr>
      <w:tr>
        <w:tc>
          <w:tcPr>
            <w:tcW w:type="dxa" w:w="2381"/>
          </w:tcPr>
          <w:p>
            <w:pPr>
              <w:spacing w:before="40" w:after="40"/>
              <w:jc w:val="left"/>
            </w:pPr>
            <w:r>
              <w:rPr>
                <w:rFonts w:ascii="SimSun" w:hAnsi="SimSun" w:eastAsia="SimSun"/>
                <w:b w:val="0"/>
                <w:sz w:val="18"/>
              </w:rPr>
              <w:t>M-K显著性水平(宽松)</w:t>
            </w:r>
          </w:p>
        </w:tc>
        <w:tc>
          <w:tcPr>
            <w:tcW w:type="dxa" w:w="3118"/>
          </w:tcPr>
          <w:p>
            <w:pPr>
              <w:spacing w:before="40" w:after="40"/>
              <w:jc w:val="center"/>
            </w:pPr>
            <w:r>
              <w:rPr>
                <w:rFonts w:ascii="SimSun" w:hAnsi="SimSun" w:eastAsia="SimSun"/>
                <w:b w:val="0"/>
                <w:sz w:val="18"/>
              </w:rPr>
              <w:t>Mann-Kendall弱显著性检验α</w:t>
            </w:r>
          </w:p>
        </w:tc>
        <w:tc>
          <w:tcPr>
            <w:tcW w:type="dxa" w:w="1701"/>
          </w:tcPr>
          <w:p>
            <w:pPr>
              <w:spacing w:before="40" w:after="40"/>
              <w:jc w:val="center"/>
            </w:pPr>
            <w:r>
              <w:rPr>
                <w:rFonts w:ascii="SimSun" w:hAnsi="SimSun" w:eastAsia="SimSun"/>
                <w:b w:val="0"/>
                <w:sz w:val="18"/>
              </w:rPr>
              <w:t>0.05-0.15</w:t>
            </w:r>
          </w:p>
        </w:tc>
        <w:tc>
          <w:tcPr>
            <w:tcW w:type="dxa" w:w="1417"/>
          </w:tcPr>
          <w:p>
            <w:pPr>
              <w:spacing w:before="40" w:after="40"/>
              <w:jc w:val="center"/>
            </w:pPr>
            <w:r>
              <w:rPr>
                <w:rFonts w:ascii="SimSun" w:hAnsi="SimSun" w:eastAsia="SimSun"/>
                <w:b w:val="0"/>
                <w:sz w:val="18"/>
              </w:rPr>
              <w:t>0.10</w:t>
            </w:r>
          </w:p>
        </w:tc>
      </w:tr>
      <w:tr>
        <w:tc>
          <w:tcPr>
            <w:tcW w:type="dxa" w:w="2381"/>
          </w:tcPr>
          <w:p>
            <w:pPr>
              <w:spacing w:before="40" w:after="40"/>
              <w:jc w:val="left"/>
            </w:pPr>
            <w:r>
              <w:rPr>
                <w:rFonts w:ascii="SimSun" w:hAnsi="SimSun" w:eastAsia="SimSun"/>
                <w:b w:val="0"/>
                <w:sz w:val="18"/>
              </w:rPr>
              <w:t>Pettitt显著性水平</w:t>
            </w:r>
          </w:p>
        </w:tc>
        <w:tc>
          <w:tcPr>
            <w:tcW w:type="dxa" w:w="3118"/>
          </w:tcPr>
          <w:p>
            <w:pPr>
              <w:spacing w:before="40" w:after="40"/>
              <w:jc w:val="center"/>
            </w:pPr>
            <w:r>
              <w:rPr>
                <w:rFonts w:ascii="SimSun" w:hAnsi="SimSun" w:eastAsia="SimSun"/>
                <w:b w:val="0"/>
                <w:sz w:val="18"/>
              </w:rPr>
              <w:t>Pettitt变点检测显著性α</w:t>
            </w:r>
          </w:p>
        </w:tc>
        <w:tc>
          <w:tcPr>
            <w:tcW w:type="dxa" w:w="1701"/>
          </w:tcPr>
          <w:p>
            <w:pPr>
              <w:spacing w:before="40" w:after="40"/>
              <w:jc w:val="center"/>
            </w:pPr>
            <w:r>
              <w:rPr>
                <w:rFonts w:ascii="SimSun" w:hAnsi="SimSun" w:eastAsia="SimSun"/>
                <w:b w:val="0"/>
                <w:sz w:val="18"/>
              </w:rPr>
              <w:t>0.01-0.10</w:t>
            </w:r>
          </w:p>
        </w:tc>
        <w:tc>
          <w:tcPr>
            <w:tcW w:type="dxa" w:w="1417"/>
          </w:tcPr>
          <w:p>
            <w:pPr>
              <w:spacing w:before="40" w:after="40"/>
              <w:jc w:val="center"/>
            </w:pPr>
            <w:r>
              <w:rPr>
                <w:rFonts w:ascii="SimSun" w:hAnsi="SimSun" w:eastAsia="SimSun"/>
                <w:b w:val="0"/>
                <w:sz w:val="18"/>
              </w:rPr>
              <w:t>0.05</w:t>
            </w:r>
          </w:p>
        </w:tc>
      </w:tr>
      <w:tr>
        <w:tc>
          <w:tcPr>
            <w:tcW w:type="dxa" w:w="2381"/>
          </w:tcPr>
          <w:p>
            <w:pPr>
              <w:spacing w:before="40" w:after="40"/>
              <w:jc w:val="left"/>
            </w:pPr>
            <w:r>
              <w:rPr>
                <w:rFonts w:ascii="SimSun" w:hAnsi="SimSun" w:eastAsia="SimSun"/>
                <w:b w:val="0"/>
                <w:sz w:val="18"/>
              </w:rPr>
              <w:t>恢复速率阈值</w:t>
            </w:r>
          </w:p>
        </w:tc>
        <w:tc>
          <w:tcPr>
            <w:tcW w:type="dxa" w:w="3118"/>
          </w:tcPr>
          <w:p>
            <w:pPr>
              <w:spacing w:before="40" w:after="40"/>
              <w:jc w:val="center"/>
            </w:pPr>
            <w:r>
              <w:rPr>
                <w:rFonts w:ascii="SimSun" w:hAnsi="SimSun" w:eastAsia="SimSun"/>
                <w:b w:val="0"/>
                <w:sz w:val="18"/>
              </w:rPr>
              <w:t>区分自然恢复与人工复垦的增速阈值</w:t>
            </w:r>
          </w:p>
        </w:tc>
        <w:tc>
          <w:tcPr>
            <w:tcW w:type="dxa" w:w="1701"/>
          </w:tcPr>
          <w:p>
            <w:pPr>
              <w:spacing w:before="40" w:after="40"/>
              <w:jc w:val="center"/>
            </w:pPr>
            <w:r>
              <w:rPr>
                <w:rFonts w:ascii="SimSun" w:hAnsi="SimSun" w:eastAsia="SimSun"/>
                <w:b w:val="0"/>
                <w:sz w:val="18"/>
              </w:rPr>
              <w:t>0.005-0.020/年</w:t>
            </w:r>
          </w:p>
        </w:tc>
        <w:tc>
          <w:tcPr>
            <w:tcW w:type="dxa" w:w="1417"/>
          </w:tcPr>
          <w:p>
            <w:pPr>
              <w:spacing w:before="40" w:after="40"/>
              <w:jc w:val="center"/>
            </w:pPr>
            <w:r>
              <w:rPr>
                <w:rFonts w:ascii="SimSun" w:hAnsi="SimSun" w:eastAsia="SimSun"/>
                <w:b w:val="0"/>
                <w:sz w:val="18"/>
              </w:rPr>
              <w:t>0.010/年</w:t>
            </w:r>
          </w:p>
        </w:tc>
      </w:tr>
      <w:tr>
        <w:tc>
          <w:tcPr>
            <w:tcW w:type="dxa" w:w="2381"/>
          </w:tcPr>
          <w:p>
            <w:pPr>
              <w:spacing w:before="40" w:after="40"/>
              <w:jc w:val="left"/>
            </w:pPr>
            <w:r>
              <w:rPr>
                <w:rFonts w:ascii="SimSun" w:hAnsi="SimSun" w:eastAsia="SimSun"/>
                <w:b w:val="0"/>
                <w:sz w:val="18"/>
              </w:rPr>
              <w:t>稳定期M-RSEI阈值</w:t>
            </w:r>
          </w:p>
        </w:tc>
        <w:tc>
          <w:tcPr>
            <w:tcW w:type="dxa" w:w="3118"/>
          </w:tcPr>
          <w:p>
            <w:pPr>
              <w:spacing w:before="40" w:after="40"/>
              <w:jc w:val="center"/>
            </w:pPr>
            <w:r>
              <w:rPr>
                <w:rFonts w:ascii="SimSun" w:hAnsi="SimSun" w:eastAsia="SimSun"/>
                <w:b w:val="0"/>
                <w:sz w:val="18"/>
              </w:rPr>
              <w:t>稳定期M-RSEI占扰动前水平的百分比</w:t>
            </w:r>
          </w:p>
        </w:tc>
        <w:tc>
          <w:tcPr>
            <w:tcW w:type="dxa" w:w="1701"/>
          </w:tcPr>
          <w:p>
            <w:pPr>
              <w:spacing w:before="40" w:after="40"/>
              <w:jc w:val="center"/>
            </w:pPr>
            <w:r>
              <w:rPr>
                <w:rFonts w:ascii="SimSun" w:hAnsi="SimSun" w:eastAsia="SimSun"/>
                <w:b w:val="0"/>
                <w:sz w:val="18"/>
              </w:rPr>
              <w:t>80%-95%</w:t>
            </w:r>
          </w:p>
        </w:tc>
        <w:tc>
          <w:tcPr>
            <w:tcW w:type="dxa" w:w="1417"/>
          </w:tcPr>
          <w:p>
            <w:pPr>
              <w:spacing w:before="40" w:after="40"/>
              <w:jc w:val="center"/>
            </w:pPr>
            <w:r>
              <w:rPr>
                <w:rFonts w:ascii="SimSun" w:hAnsi="SimSun" w:eastAsia="SimSun"/>
                <w:b w:val="0"/>
                <w:sz w:val="18"/>
              </w:rPr>
              <w:t>90%</w:t>
            </w:r>
          </w:p>
        </w:tc>
      </w:tr>
      <w:tr>
        <w:tc>
          <w:tcPr>
            <w:tcW w:type="dxa" w:w="2381"/>
          </w:tcPr>
          <w:p>
            <w:pPr>
              <w:spacing w:before="40" w:after="40"/>
              <w:jc w:val="left"/>
            </w:pPr>
            <w:r>
              <w:rPr>
                <w:rFonts w:ascii="SimSun" w:hAnsi="SimSun" w:eastAsia="SimSun"/>
                <w:b w:val="0"/>
                <w:sz w:val="18"/>
              </w:rPr>
              <w:t>NSPI修复窗口</w:t>
            </w:r>
          </w:p>
        </w:tc>
        <w:tc>
          <w:tcPr>
            <w:tcW w:type="dxa" w:w="3118"/>
          </w:tcPr>
          <w:p>
            <w:pPr>
              <w:spacing w:before="40" w:after="40"/>
              <w:jc w:val="center"/>
            </w:pPr>
            <w:r>
              <w:rPr>
                <w:rFonts w:ascii="SimSun" w:hAnsi="SimSun" w:eastAsia="SimSun"/>
                <w:b w:val="0"/>
                <w:sz w:val="18"/>
              </w:rPr>
              <w:t>Landsat 7条带修复的邻域搜索窗口(像素)</w:t>
            </w:r>
          </w:p>
        </w:tc>
        <w:tc>
          <w:tcPr>
            <w:tcW w:type="dxa" w:w="1701"/>
          </w:tcPr>
          <w:p>
            <w:pPr>
              <w:spacing w:before="40" w:after="40"/>
              <w:jc w:val="center"/>
            </w:pPr>
            <w:r>
              <w:rPr>
                <w:rFonts w:ascii="SimSun" w:hAnsi="SimSun" w:eastAsia="SimSun"/>
                <w:b w:val="0"/>
                <w:sz w:val="18"/>
              </w:rPr>
              <w:t>11×11-31×31</w:t>
            </w:r>
          </w:p>
        </w:tc>
        <w:tc>
          <w:tcPr>
            <w:tcW w:type="dxa" w:w="1417"/>
          </w:tcPr>
          <w:p>
            <w:pPr>
              <w:spacing w:before="40" w:after="40"/>
              <w:jc w:val="center"/>
            </w:pPr>
            <w:r>
              <w:rPr>
                <w:rFonts w:ascii="SimSun" w:hAnsi="SimSun" w:eastAsia="SimSun"/>
                <w:b w:val="0"/>
                <w:sz w:val="18"/>
              </w:rPr>
              <w:t>21×21</w:t>
            </w:r>
          </w:p>
        </w:tc>
      </w:tr>
      <w:tr>
        <w:tc>
          <w:tcPr>
            <w:tcW w:type="dxa" w:w="2381"/>
          </w:tcPr>
          <w:p>
            <w:pPr>
              <w:spacing w:before="40" w:after="40"/>
              <w:jc w:val="left"/>
            </w:pPr>
            <w:r>
              <w:rPr>
                <w:rFonts w:ascii="SimSun" w:hAnsi="SimSun" w:eastAsia="SimSun"/>
                <w:b w:val="0"/>
                <w:sz w:val="18"/>
              </w:rPr>
              <w:t>云量阈值</w:t>
            </w:r>
          </w:p>
        </w:tc>
        <w:tc>
          <w:tcPr>
            <w:tcW w:type="dxa" w:w="3118"/>
          </w:tcPr>
          <w:p>
            <w:pPr>
              <w:spacing w:before="40" w:after="40"/>
              <w:jc w:val="center"/>
            </w:pPr>
            <w:r>
              <w:rPr>
                <w:rFonts w:ascii="SimSun" w:hAnsi="SimSun" w:eastAsia="SimSun"/>
                <w:b w:val="0"/>
                <w:sz w:val="18"/>
              </w:rPr>
              <w:t>影像云量筛选上限</w:t>
            </w:r>
          </w:p>
        </w:tc>
        <w:tc>
          <w:tcPr>
            <w:tcW w:type="dxa" w:w="1701"/>
          </w:tcPr>
          <w:p>
            <w:pPr>
              <w:spacing w:before="40" w:after="40"/>
              <w:jc w:val="center"/>
            </w:pPr>
            <w:r>
              <w:rPr>
                <w:rFonts w:ascii="SimSun" w:hAnsi="SimSun" w:eastAsia="SimSun"/>
                <w:b w:val="0"/>
                <w:sz w:val="18"/>
              </w:rPr>
              <w:t>10%-50%</w:t>
            </w:r>
          </w:p>
        </w:tc>
        <w:tc>
          <w:tcPr>
            <w:tcW w:type="dxa" w:w="1417"/>
          </w:tcPr>
          <w:p>
            <w:pPr>
              <w:spacing w:before="40" w:after="40"/>
              <w:jc w:val="center"/>
            </w:pPr>
            <w:r>
              <w:rPr>
                <w:rFonts w:ascii="SimSun" w:hAnsi="SimSun" w:eastAsia="SimSun"/>
                <w:b w:val="0"/>
                <w:sz w:val="18"/>
              </w:rPr>
              <w:t>30%</w:t>
            </w:r>
          </w:p>
        </w:tc>
      </w:tr>
      <w:tr>
        <w:tc>
          <w:tcPr>
            <w:tcW w:type="dxa" w:w="2381"/>
          </w:tcPr>
          <w:p>
            <w:pPr>
              <w:spacing w:before="40" w:after="40"/>
              <w:jc w:val="left"/>
            </w:pPr>
            <w:r>
              <w:rPr>
                <w:rFonts w:ascii="SimSun" w:hAnsi="SimSun" w:eastAsia="SimSun"/>
                <w:b w:val="0"/>
                <w:sz w:val="18"/>
              </w:rPr>
              <w:t>生长季窗口</w:t>
            </w:r>
          </w:p>
        </w:tc>
        <w:tc>
          <w:tcPr>
            <w:tcW w:type="dxa" w:w="3118"/>
          </w:tcPr>
          <w:p>
            <w:pPr>
              <w:spacing w:before="40" w:after="40"/>
              <w:jc w:val="center"/>
            </w:pPr>
            <w:r>
              <w:rPr>
                <w:rFonts w:ascii="SimSun" w:hAnsi="SimSun" w:eastAsia="SimSun"/>
                <w:b w:val="0"/>
                <w:sz w:val="18"/>
              </w:rPr>
              <w:t>年度代表影像选取月份范围</w:t>
            </w:r>
          </w:p>
        </w:tc>
        <w:tc>
          <w:tcPr>
            <w:tcW w:type="dxa" w:w="1701"/>
          </w:tcPr>
          <w:p>
            <w:pPr>
              <w:spacing w:before="40" w:after="40"/>
              <w:jc w:val="center"/>
            </w:pPr>
            <w:r>
              <w:rPr>
                <w:rFonts w:ascii="SimSun" w:hAnsi="SimSun" w:eastAsia="SimSun"/>
                <w:b w:val="0"/>
                <w:sz w:val="18"/>
              </w:rPr>
              <w:t>5-10月</w:t>
            </w:r>
          </w:p>
        </w:tc>
        <w:tc>
          <w:tcPr>
            <w:tcW w:type="dxa" w:w="1417"/>
          </w:tcPr>
          <w:p>
            <w:pPr>
              <w:spacing w:before="40" w:after="40"/>
              <w:jc w:val="center"/>
            </w:pPr>
            <w:r>
              <w:rPr>
                <w:rFonts w:ascii="SimSun" w:hAnsi="SimSun" w:eastAsia="SimSun"/>
                <w:b w:val="0"/>
                <w:sz w:val="18"/>
              </w:rPr>
              <w:t>6-9月</w:t>
            </w:r>
          </w:p>
        </w:tc>
      </w:tr>
      <w:tr>
        <w:tc>
          <w:tcPr>
            <w:tcW w:type="dxa" w:w="2381"/>
          </w:tcPr>
          <w:p>
            <w:pPr>
              <w:spacing w:before="40" w:after="40"/>
              <w:jc w:val="left"/>
            </w:pPr>
            <w:r>
              <w:rPr>
                <w:rFonts w:ascii="SimSun" w:hAnsi="SimSun" w:eastAsia="SimSun"/>
                <w:b w:val="0"/>
                <w:sz w:val="18"/>
              </w:rPr>
              <w:t>配准容差</w:t>
            </w:r>
          </w:p>
        </w:tc>
        <w:tc>
          <w:tcPr>
            <w:tcW w:type="dxa" w:w="3118"/>
          </w:tcPr>
          <w:p>
            <w:pPr>
              <w:spacing w:before="40" w:after="40"/>
              <w:jc w:val="center"/>
            </w:pPr>
            <w:r>
              <w:rPr>
                <w:rFonts w:ascii="SimSun" w:hAnsi="SimSun" w:eastAsia="SimSun"/>
                <w:b w:val="0"/>
                <w:sz w:val="18"/>
              </w:rPr>
              <w:t>影像间几何配准精度(像素)</w:t>
            </w:r>
          </w:p>
        </w:tc>
        <w:tc>
          <w:tcPr>
            <w:tcW w:type="dxa" w:w="1701"/>
          </w:tcPr>
          <w:p>
            <w:pPr>
              <w:spacing w:before="40" w:after="40"/>
              <w:jc w:val="center"/>
            </w:pPr>
            <w:r>
              <w:rPr>
                <w:rFonts w:ascii="SimSun" w:hAnsi="SimSun" w:eastAsia="SimSun"/>
                <w:b w:val="0"/>
                <w:sz w:val="18"/>
              </w:rPr>
              <w:t>0.3-1.0</w:t>
            </w:r>
          </w:p>
        </w:tc>
        <w:tc>
          <w:tcPr>
            <w:tcW w:type="dxa" w:w="1417"/>
          </w:tcPr>
          <w:p>
            <w:pPr>
              <w:spacing w:before="40" w:after="40"/>
              <w:jc w:val="center"/>
            </w:pPr>
            <w:r>
              <w:rPr>
                <w:rFonts w:ascii="SimSun" w:hAnsi="SimSun" w:eastAsia="SimSun"/>
                <w:b w:val="0"/>
                <w:sz w:val="18"/>
              </w:rPr>
              <w:t>0.5</w:t>
            </w:r>
          </w:p>
        </w:tc>
      </w:tr>
      <w:tr>
        <w:tc>
          <w:tcPr>
            <w:tcW w:type="dxa" w:w="2381"/>
          </w:tcPr>
          <w:p>
            <w:pPr>
              <w:spacing w:before="40" w:after="40"/>
              <w:jc w:val="left"/>
            </w:pPr>
            <w:r>
              <w:rPr>
                <w:rFonts w:ascii="SimSun" w:hAnsi="SimSun" w:eastAsia="SimSun"/>
                <w:b w:val="0"/>
                <w:sz w:val="18"/>
              </w:rPr>
              <w:t>空间权重距离阈值</w:t>
            </w:r>
          </w:p>
        </w:tc>
        <w:tc>
          <w:tcPr>
            <w:tcW w:type="dxa" w:w="3118"/>
          </w:tcPr>
          <w:p>
            <w:pPr>
              <w:spacing w:before="40" w:after="40"/>
              <w:jc w:val="center"/>
            </w:pPr>
            <w:r>
              <w:rPr>
                <w:rFonts w:ascii="SimSun" w:hAnsi="SimSun" w:eastAsia="SimSun"/>
                <w:b w:val="0"/>
                <w:sz w:val="18"/>
              </w:rPr>
              <w:t>LISA分析邻接距离(米)</w:t>
            </w:r>
          </w:p>
        </w:tc>
        <w:tc>
          <w:tcPr>
            <w:tcW w:type="dxa" w:w="1701"/>
          </w:tcPr>
          <w:p>
            <w:pPr>
              <w:spacing w:before="40" w:after="40"/>
              <w:jc w:val="center"/>
            </w:pPr>
            <w:r>
              <w:rPr>
                <w:rFonts w:ascii="SimSun" w:hAnsi="SimSun" w:eastAsia="SimSun"/>
                <w:b w:val="0"/>
                <w:sz w:val="18"/>
              </w:rPr>
              <w:t>30-300</w:t>
            </w:r>
          </w:p>
        </w:tc>
        <w:tc>
          <w:tcPr>
            <w:tcW w:type="dxa" w:w="1417"/>
          </w:tcPr>
          <w:p>
            <w:pPr>
              <w:spacing w:before="40" w:after="40"/>
              <w:jc w:val="center"/>
            </w:pPr>
            <w:r>
              <w:rPr>
                <w:rFonts w:ascii="SimSun" w:hAnsi="SimSun" w:eastAsia="SimSun"/>
                <w:b w:val="0"/>
                <w:sz w:val="18"/>
              </w:rPr>
              <w:t>90</w:t>
            </w:r>
          </w:p>
        </w:tc>
      </w:tr>
      <w:tr>
        <w:tc>
          <w:tcPr>
            <w:tcW w:type="dxa" w:w="2381"/>
          </w:tcPr>
          <w:p>
            <w:pPr>
              <w:spacing w:before="40" w:after="40"/>
              <w:jc w:val="left"/>
            </w:pPr>
            <w:r>
              <w:rPr>
                <w:rFonts w:ascii="SimSun" w:hAnsi="SimSun" w:eastAsia="SimSun"/>
                <w:b w:val="0"/>
                <w:sz w:val="18"/>
              </w:rPr>
              <w:t>S-G多项式阶数</w:t>
            </w:r>
          </w:p>
        </w:tc>
        <w:tc>
          <w:tcPr>
            <w:tcW w:type="dxa" w:w="3118"/>
          </w:tcPr>
          <w:p>
            <w:pPr>
              <w:spacing w:before="40" w:after="40"/>
              <w:jc w:val="center"/>
            </w:pPr>
            <w:r>
              <w:rPr>
                <w:rFonts w:ascii="SimSun" w:hAnsi="SimSun" w:eastAsia="SimSun"/>
                <w:b w:val="0"/>
                <w:sz w:val="18"/>
              </w:rPr>
              <w:t>Savitzky-Golay滤波多项式拟合阶数</w:t>
            </w:r>
          </w:p>
        </w:tc>
        <w:tc>
          <w:tcPr>
            <w:tcW w:type="dxa" w:w="1701"/>
          </w:tcPr>
          <w:p>
            <w:pPr>
              <w:spacing w:before="40" w:after="40"/>
              <w:jc w:val="center"/>
            </w:pPr>
            <w:r>
              <w:rPr>
                <w:rFonts w:ascii="SimSun" w:hAnsi="SimSun" w:eastAsia="SimSun"/>
                <w:b w:val="0"/>
                <w:sz w:val="18"/>
              </w:rPr>
              <w:t>1-4</w:t>
            </w:r>
          </w:p>
        </w:tc>
        <w:tc>
          <w:tcPr>
            <w:tcW w:type="dxa" w:w="1417"/>
          </w:tcPr>
          <w:p>
            <w:pPr>
              <w:spacing w:before="40" w:after="40"/>
              <w:jc w:val="center"/>
            </w:pPr>
            <w:r>
              <w:rPr>
                <w:rFonts w:ascii="SimSun" w:hAnsi="SimSun" w:eastAsia="SimSun"/>
                <w:b w:val="0"/>
                <w:sz w:val="18"/>
              </w:rPr>
              <w:t>3</w:t>
            </w:r>
          </w:p>
        </w:tc>
      </w:tr>
      <w:tr>
        <w:tc>
          <w:tcPr>
            <w:tcW w:type="dxa" w:w="2381"/>
          </w:tcPr>
          <w:p>
            <w:pPr>
              <w:spacing w:before="40" w:after="40"/>
              <w:jc w:val="left"/>
            </w:pPr>
            <w:r>
              <w:rPr>
                <w:rFonts w:ascii="SimSun" w:hAnsi="SimSun" w:eastAsia="SimSun"/>
                <w:b w:val="0"/>
                <w:sz w:val="18"/>
              </w:rPr>
              <w:t>加速判别阈值</w:t>
            </w:r>
          </w:p>
        </w:tc>
        <w:tc>
          <w:tcPr>
            <w:tcW w:type="dxa" w:w="3118"/>
          </w:tcPr>
          <w:p>
            <w:pPr>
              <w:spacing w:before="40" w:after="40"/>
              <w:jc w:val="center"/>
            </w:pPr>
            <w:r>
              <w:rPr>
                <w:rFonts w:ascii="SimSun" w:hAnsi="SimSun" w:eastAsia="SimSun"/>
                <w:b w:val="0"/>
                <w:sz w:val="18"/>
              </w:rPr>
              <w:t>人工复垦加速趋势二次拟合系数阈值</w:t>
            </w:r>
          </w:p>
        </w:tc>
        <w:tc>
          <w:tcPr>
            <w:tcW w:type="dxa" w:w="1701"/>
          </w:tcPr>
          <w:p>
            <w:pPr>
              <w:spacing w:before="40" w:after="40"/>
              <w:jc w:val="center"/>
            </w:pPr>
            <w:r>
              <w:rPr>
                <w:rFonts w:ascii="SimSun" w:hAnsi="SimSun" w:eastAsia="SimSun"/>
                <w:b w:val="0"/>
                <w:sz w:val="18"/>
              </w:rPr>
              <w:t>0.0001-0.001</w:t>
            </w:r>
          </w:p>
        </w:tc>
        <w:tc>
          <w:tcPr>
            <w:tcW w:type="dxa" w:w="1417"/>
          </w:tcPr>
          <w:p>
            <w:pPr>
              <w:spacing w:before="40" w:after="40"/>
              <w:jc w:val="center"/>
            </w:pPr>
            <w:r>
              <w:rPr>
                <w:rFonts w:ascii="SimSun" w:hAnsi="SimSun" w:eastAsia="SimSun"/>
                <w:b w:val="0"/>
                <w:sz w:val="18"/>
              </w:rPr>
              <w:t>0.0005</w:t>
            </w:r>
          </w:p>
        </w:tc>
      </w:tr>
    </w:tbl>
    <w:p>
      <w:pPr>
        <w:spacing w:after="80"/>
      </w:pPr>
    </w:p>
    <w:p>
      <w:pPr>
        <w:spacing w:after="120" w:before="0" w:line="360" w:lineRule="auto"/>
      </w:pPr>
      <w:r>
        <w:rPr>
          <w:rFonts w:ascii="SimSun" w:hAnsi="SimSun" w:eastAsia="SimSun"/>
          <w:b w:val="0"/>
          <w:sz w:val="24"/>
        </w:rPr>
        <w:t>上述参数取值是基于三个不同类型矿区（平朔露天矿、淮南煤矿、神东煤矿）的大量实验验证确定的，兼顾了通用性和局部适应性，可作为其他矿区应用的推荐默认值。对于特殊地理环境或气候条件的矿区，可根据实际情况在取值范围内进行适当调整。</w:t>
      </w:r>
    </w:p>
    <w:p>
      <w:pPr>
        <w:spacing w:before="240" w:after="120" w:line="360" w:lineRule="auto"/>
        <w:jc w:val="left"/>
      </w:pPr>
      <w:r>
        <w:rPr>
          <w:rFonts w:ascii="SimHei" w:hAnsi="SimHei" w:eastAsia="SimHei"/>
          <w:b/>
          <w:sz w:val="34"/>
        </w:rPr>
        <w:t>七、说明书附图</w:t>
      </w:r>
    </w:p>
    <w:p>
      <w:pPr>
        <w:spacing w:after="120" w:before="0" w:line="360" w:lineRule="auto"/>
      </w:pPr>
      <w:r>
        <w:rPr>
          <w:rFonts w:ascii="SimSun" w:hAnsi="SimSun" w:eastAsia="SimSun"/>
          <w:b w:val="0"/>
          <w:sz w:val="24"/>
        </w:rPr>
        <w:t>图1：本发明方法总体技术流程图，展示从S1到S6的完整技术路线。</w:t>
      </w:r>
    </w:p>
    <w:p>
      <w:pPr>
        <w:spacing w:after="120" w:before="0" w:line="360" w:lineRule="auto"/>
      </w:pPr>
      <w:r>
        <w:rPr>
          <w:rFonts w:ascii="SimSun" w:hAnsi="SimSun" w:eastAsia="SimSun"/>
          <w:b w:val="0"/>
          <w:sz w:val="24"/>
        </w:rPr>
        <w:t>图2：M-RSEI六分量计算流程图，展示从原始Landsat波段到NDVI、WET、LST、NDBSI、MDI、CDI六分量，再经标准化、PCA、归一化合成M-RSEI的完整计算链。</w:t>
      </w:r>
    </w:p>
    <w:p>
      <w:pPr>
        <w:spacing w:after="120" w:before="0" w:line="360" w:lineRule="auto"/>
      </w:pPr>
      <w:r>
        <w:rPr>
          <w:rFonts w:ascii="SimSun" w:hAnsi="SimSun" w:eastAsia="SimSun"/>
          <w:b w:val="0"/>
          <w:sz w:val="24"/>
        </w:rPr>
        <w:t>图3：双稳定要素PIFs选取与跨传感器校正示意图，展示地形稳定要素和人工稳定要素的空间分布、光谱采样方案及传感器间转换函数的建立流程。</w:t>
      </w:r>
    </w:p>
    <w:p>
      <w:pPr>
        <w:spacing w:after="120" w:before="0" w:line="360" w:lineRule="auto"/>
      </w:pPr>
      <w:r>
        <w:rPr>
          <w:rFonts w:ascii="SimSun" w:hAnsi="SimSun" w:eastAsia="SimSun"/>
          <w:b w:val="0"/>
          <w:sz w:val="24"/>
        </w:rPr>
        <w:t>图4：Theil-Sen斜率与Mann-Kendall显著性检验趋势分析结果图，以不同颜色标识六种趋势状态在矿区全域的空间分布。</w:t>
      </w:r>
    </w:p>
    <w:p>
      <w:pPr>
        <w:spacing w:after="120" w:before="0" w:line="360" w:lineRule="auto"/>
      </w:pPr>
      <w:r>
        <w:rPr>
          <w:rFonts w:ascii="SimSun" w:hAnsi="SimSun" w:eastAsia="SimSun"/>
          <w:b w:val="0"/>
          <w:sz w:val="24"/>
        </w:rPr>
        <w:t>图5：Pettitt变点检测与五阶段自动划分示意图，展示典型像元M-RSEI时序曲线、检测到的变点位置及对应的阶段划分结果。</w:t>
      </w:r>
    </w:p>
    <w:p>
      <w:pPr>
        <w:spacing w:after="120" w:before="0" w:line="360" w:lineRule="auto"/>
      </w:pPr>
      <w:r>
        <w:rPr>
          <w:rFonts w:ascii="SimSun" w:hAnsi="SimSun" w:eastAsia="SimSun"/>
          <w:b w:val="0"/>
          <w:sz w:val="24"/>
        </w:rPr>
        <w:t>图6：恢复速率LISA空间自相关冷热点分析图，展示HH、LL、HL、LH四类空间聚集类型的分布格局。</w:t>
      </w:r>
    </w:p>
    <w:p>
      <w:pPr>
        <w:spacing w:after="120" w:before="0" w:line="360" w:lineRule="auto"/>
      </w:pPr>
      <w:r>
        <w:rPr>
          <w:rFonts w:ascii="SimSun" w:hAnsi="SimSun" w:eastAsia="SimSun"/>
          <w:b w:val="0"/>
          <w:sz w:val="24"/>
        </w:rPr>
        <w:t>图7：矿区全生命周期RSEI时空动态图谱，以多时相M-RSEI合成图展示矿区生态环境质量的整体时空演变格局。</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