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该方法首先获取目标辫状河区域的历史多源遥感影像（多光谱/SAR）和浅层地球物理探测数据（浅层高分辨率地震剖面或水上连续电法数据），通过解译提取历年河道迁移轨迹和地下基底几何形态参数。然后将河道轨迹图和地下模板图进行空间配准，构建包含近期遥感观测和地下约束条件的训练样本。接着构建条件生成对抗网络（cGAN）模型，其中生成器以地下模板图和近期遥感观测为条件输入，输出未来河道概率性分布图；训练过程中采用包含对抗损失、内容损失和地下模板约束项的损失函数，确保预测结果符合物理可迁移范围。最后利用训练好的模型对未来数月或数年的河道迁移趋势进行概率预测。本发明融合地下结构约束与遥感时序信息，有效解决了纯数据驱动预测违反河道可迁移物理范围的问题，显著提高了预测的准确性和可靠性。</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S1：获取目标辫状河区域的历史多源遥感影像数据和浅层地球物理探测数据；所述多源遥感影像数据包括光学多光谱影像和合成孔径雷达（SAR）影像；所述浅层地球物理探测数据包括浅层高分辨率地震剖面数据或水上连续电法数据；</w:t>
        <w:br/>
        <w:t>S2：对多源遥感影像进行预处理和河道边界提取，生成时间序列的河道迁移轨迹图；对浅层地球物理数据进行解译，提取地下基底几何形态参数和沉积物属性参数，生成地下模板图；</w:t>
        <w:br/>
        <w:t>S3：对所述河道迁移轨迹图和地下模板图进行空间配准，构建训练样本集；每个训练样本包括作为条件输入的所述地下模板图、近期水文遥感观测数据，以及作为标签的后续年份的河道分布图；</w:t>
        <w:br/>
        <w:t>S4：构建条件生成对抗网络（cGAN），包括生成器和判别器；所述生成器以所述地下模板图和近期水文遥感观测数据的拼接张量为条件输入，输出预测的未来河道概率分布图；训练过程中损失函数包括对抗损失、内容损失和地下模板约束项，所述地下模板约束项用于惩罚预测结果超出地下基底划定的可迁移范围；</w:t>
        <w:br/>
        <w:t>S5：将训练好的cGAN模型应用于目标区域的近期遥感观测数据和对应的地下模板图，生成未来预设时间段的河道概率性分布图。</w:t>
      </w:r>
    </w:p>
    <w:p>
      <w:pPr>
        <w:spacing w:line="440" w:lineRule="exact" w:after="120"/>
      </w:pPr>
      <w:r>
        <w:rPr>
          <w:rFonts w:ascii="SimSun" w:hAnsi="SimSun"/>
          <w:b/>
          <w:sz w:val="24"/>
        </w:rPr>
        <w:t xml:space="preserve">2. </w:t>
      </w:r>
      <w:r>
        <w:rPr>
          <w:rFonts w:ascii="SimSun" w:hAnsi="SimSun" w:eastAsia="SimSun"/>
          <w:sz w:val="24"/>
        </w:rPr>
        <w:t>根据权利要求1所述的方法，其特征在于，步骤S1中所述浅层高分辨率地震剖面数据通过高频震源采集，探测深度为0-50米，垂直分辨率优于0.5米；所述水上连续电法数据采用多电极阵列拖曳测量，电极数量为48至64个，采集电阻率断面数据，反演得到沉积层厚度和电阻率分布。</w:t>
      </w:r>
    </w:p>
    <w:p>
      <w:pPr>
        <w:spacing w:line="440" w:lineRule="exact" w:after="120"/>
      </w:pPr>
      <w:r>
        <w:rPr>
          <w:rFonts w:ascii="SimSun" w:hAnsi="SimSun"/>
          <w:b/>
          <w:sz w:val="24"/>
        </w:rPr>
        <w:t xml:space="preserve">3. </w:t>
      </w:r>
      <w:r>
        <w:rPr>
          <w:rFonts w:ascii="SimSun" w:hAnsi="SimSun" w:eastAsia="SimSun"/>
          <w:sz w:val="24"/>
        </w:rPr>
        <w:t>根据权利要求1所述的方法，其特征在于，步骤S2中提取河道边界的方法包括：利用归一化差分水体指数（NDWI）从光学多光谱影像中提取水体，以及利用双阈值法或Otsu算法从SAR影像中提取水体，并进行交叉验证；提取历年河道轨迹后，生成时间序列的二值化河道分布图。</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根据权利要求1所述的方法，其特征在于，步骤S2中所述地下基底几何形态参数包括古河道埋深、基底起伏度和沉积层厚度；所述沉积物属性参数包括反射系数或电阻率分布。</w:t>
      </w:r>
    </w:p>
    <w:p>
      <w:pPr>
        <w:spacing w:line="440" w:lineRule="exact" w:after="120"/>
      </w:pPr>
      <w:r>
        <w:rPr>
          <w:rFonts w:ascii="SimSun" w:hAnsi="SimSun"/>
          <w:b/>
          <w:sz w:val="24"/>
        </w:rPr>
        <w:t xml:space="preserve">5. </w:t>
      </w:r>
      <w:r>
        <w:rPr>
          <w:rFonts w:ascii="SimSun" w:hAnsi="SimSun" w:eastAsia="SimSun"/>
          <w:sz w:val="24"/>
        </w:rPr>
        <w:t>根据权利要求1所述的方法，其特征在于，步骤S3中空间配准采用地面控制点或图像匹配算法实现，配准后统一地理坐标系，像素分辨率重采样至同一值；所述近期水文遥感观测数据包括水位、流速、植被覆盖指数或地表反射率中的一种或多种。</w:t>
      </w:r>
    </w:p>
    <w:p>
      <w:pPr>
        <w:spacing w:line="440" w:lineRule="exact" w:after="120"/>
      </w:pPr>
      <w:r>
        <w:rPr>
          <w:rFonts w:ascii="SimSun" w:hAnsi="SimSun"/>
          <w:b/>
          <w:sz w:val="24"/>
        </w:rPr>
        <w:t xml:space="preserve">6. </w:t>
      </w:r>
      <w:r>
        <w:rPr>
          <w:rFonts w:ascii="SimSun" w:hAnsi="SimSun" w:eastAsia="SimSun"/>
          <w:sz w:val="24"/>
        </w:rPr>
        <w:t>根据权利要求1所述的方法，其特征在于，步骤S4中所述生成器采用U-Net架构，编码器包含多个下采样卷积层和残差块，解码器包含多个上采样卷积层和跳跃连接；所述判别器采用PatchGAN结构。</w:t>
      </w:r>
    </w:p>
    <w:p>
      <w:pPr>
        <w:spacing w:line="440" w:lineRule="exact" w:after="120"/>
      </w:pPr>
      <w:r>
        <w:rPr>
          <w:rFonts w:ascii="SimSun" w:hAnsi="SimSun"/>
          <w:b/>
          <w:sz w:val="24"/>
        </w:rPr>
        <w:t xml:space="preserve">7. </w:t>
      </w:r>
      <w:r>
        <w:rPr>
          <w:rFonts w:ascii="SimSun" w:hAnsi="SimSun" w:eastAsia="SimSun"/>
          <w:sz w:val="24"/>
        </w:rPr>
        <w:t>根据权利要求1所述的方法，其特征在于，步骤S4中所述地下模板约束项的形式为L_template = λ * MSE(Pred_map_binary, Template_valid_region)，其中Pred_map_binary为预测河道概率二值化后的河道区域，Template_valid_region为地下基底划定的河道可迁移区域，λ为权重系数，取值范围0.1至1.0。</w:t>
      </w:r>
    </w:p>
    <w:p>
      <w:pPr>
        <w:spacing w:line="440" w:lineRule="exact" w:after="120"/>
      </w:pPr>
      <w:r>
        <w:rPr>
          <w:rFonts w:ascii="SimSun" w:hAnsi="SimSun"/>
          <w:b/>
          <w:sz w:val="24"/>
        </w:rPr>
        <w:t xml:space="preserve">8. </w:t>
      </w:r>
      <w:r>
        <w:rPr>
          <w:rFonts w:ascii="SimSun" w:hAnsi="SimSun" w:eastAsia="SimSun"/>
          <w:sz w:val="24"/>
        </w:rPr>
        <w:t>根据权利要求7所述的方法，其特征在于，所述权重系数λ的优选值为0.5。</w:t>
      </w:r>
    </w:p>
    <w:p>
      <w:pPr>
        <w:spacing w:line="440" w:lineRule="exact" w:after="120"/>
      </w:pPr>
      <w:r>
        <w:rPr>
          <w:rFonts w:ascii="SimSun" w:hAnsi="SimSun"/>
          <w:b/>
          <w:sz w:val="24"/>
        </w:rPr>
        <w:t xml:space="preserve">9. </w:t>
      </w:r>
      <w:r>
        <w:rPr>
          <w:rFonts w:ascii="SimSun" w:hAnsi="SimSun" w:eastAsia="SimSun"/>
          <w:sz w:val="24"/>
        </w:rPr>
        <w:t>根据权利要求1所述的方法，其特征在于，所述cGAN的损失函数还包括内容损失，内容损失采用L1损失或结构相似性损失（SSIM），对抗损失采用最小二乘生成对抗网络（LSGAN）或带梯度惩罚的Wasserstein生成对抗网络（WGAN-GP）。</w:t>
      </w:r>
    </w:p>
    <w:p>
      <w:pPr>
        <w:spacing w:line="440" w:lineRule="exact" w:after="120"/>
      </w:pPr>
      <w:r>
        <w:rPr>
          <w:rFonts w:ascii="SimSun" w:hAnsi="SimSun"/>
          <w:b/>
          <w:sz w:val="24"/>
        </w:rPr>
        <w:t xml:space="preserve">10. </w:t>
      </w:r>
      <w:r>
        <w:rPr>
          <w:rFonts w:ascii="SimSun" w:hAnsi="SimSun" w:eastAsia="SimSun"/>
          <w:sz w:val="24"/>
        </w:rPr>
        <w:t>一种计算机设备，包括存储器和处理器，所述存储器存储有计算机程序，其特征在于，所述处理器执行所述计算机程序时实现权利要求1至9任一项所述方法的步骤。</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涉及河流演变预测技术领域，具体涉及一种基于多源遥感影像与浅层地球物理探测数据融合的辫状河河道迁移趋势智能预测方法，尤其涉及一种利用条件生成对抗网络结合地下基底几何形态约束的河道概率性分布预测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作为一种典型的河流地貌，其河道迁移频繁且快速，对沿岸工程、生态保护及水资源管理具有重要影响。当前对辫状河河道迁移趋势的预测主要依赖两种技术路线：一是基于长时间序列的光学或合成孔径雷达（SAR）遥感影像，通过提取历史河道边界并分析迁移轨迹来外推未来变化；二是通过浅层地球物理勘探手段，如浅层地震反射波法或水上连续电法（CECT），获取河床沉积结构、古河道基底形态等地下信息。然而，上述两种方法在应用中各自存在明显不足。 基于遥感影像的河道迁移预测方法虽然能够获取平面形态的时空变化，但其预测结果缺乏地下结构对河道迁移范围的物理约束。由于辫状河河道迁移受基底下切深度、古河道侵蚀基底以及沉积物性质等地下因素的限制，纯数据驱动的模型（如LSTM、CNN）预测的河道位置可能超出实际可迁移的物理边界，导致预测结果不可靠。此外，遥感影像易受云雨、季节性淹没及植被遮挡等因素干扰，导致提取的河道轨迹噪声较大，进一步降低了预测精度。 浅层地球物理勘探方法虽然能够精确揭示地下基底几何形态与沉积物属性，如河床沉积厚度、古河道埋深及横向分布等，但其数据获取成本高、覆盖范围有限，且难以直接转化为时空连续的河道演变预测。现有技术中，地球物理数据通常仅用于地质结构分析，未能与遥感时序信息有效融合，限制了其在动态预测中的价值。 ，现有技术中缺乏一种能够将地下基底作为不可变“地貌模板”约束，并与多源遥感影像进行空间配准后输入深度学习模型，从而实现辫状河河道迁移趋势智能预测的方法。本发明针对上述技术问题，提出一种多源遥感与浅层地震影像融合的预测方法，通过条件生成对抗网络（cGAN）将地下约束嵌入预测过程，有效解决纯数据驱动预测违反河道可迁移物理范围的问题，同时提高预测的准确性和可靠性。</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本发明提供一种多源遥感与浅层地球物理数据融合的辫状河河道迁移趋势智能预测方法，包括以下步骤： 步骤S1：获取目标辫状河区域的历史多源遥感影像数据和浅层地球物理探测数据；所述多源遥感影像数据包括光学多光谱影像和合成孔径雷达（SAR）影像，获取时间跨度不少于10年，空间分辨率不低于30米；所述浅层地球物理探测数据包括浅层高分辨率地震剖面数据或水上连续电法（CECT）数据，用于提取河床沉积厚度、古河道基底形态及沉积物属性； 步骤S2：对获取的多源遥感影像进行预处理，包括辐射定标、大气校正、几何校正和影像配准，然后利用归一化差分水体指数（NDWI）或SAR水体提取算法提取历年河道边界，生成时间序列的河道迁移轨迹图；对浅层地球物理数据进行解译，提取地下基底几何形态参数（包括古河道埋深、基底起伏度、沉积层厚度）和沉积物属性参数（包括电阻率或反射系数分布），形成地下模板图； 步骤S3：对河道迁移轨迹图和地下模板图进行空间配准，确保两者在统一的地理坐标系下具有相同的像素分辨率和覆盖范围；将配准后的数据划分为训练集和测试集，其中训练样本为连续年份的河道轨迹序列加上对应时段的遥感观测数据（如水位、流速或地表反射率），标签为后续年份的河道分布图；条件输入为地下模板图（作为不可变条件）和近期水文遥感观测数据（作为动态输入）； 步骤S4：构建条件生成对抗网络（cGAN），包括生成器（Generator）和判别器（Discriminator）；所述生成器采用U-Net架构，其编码器部分输入为条件（地下模板图与近期遥感观测的拼接张量），解码器输出为预测的未来河道概率分布图；所述判别器采用PatchGAN结构，用于区分生成的目标分布图与真实分布图；在训练过程中，损失函数包含对抗损失（LSGAN或WGAN-GP）和内容损失（如L1损失或结构相似性损失），并加入地下模板约束项，惩罚预测结果超出地下基底可迁移范围； 步骤S5：将训练好的cGAN模型应用于目标区域的近期遥感观测数据和对应的地下模板图，生成未来数月或数年的河道概率性分布图，并输出预测的河道迁移概率、主河道位置以及迁移概率走廊。 进一步地，所述浅层地震剖面数据通过高频震源（如电火花或Boomer）采集，探测深度0-50米，垂直分辨率优于0.5米；所述水上连续电法数据采用多电极阵列（如48或64电极）拖曳测量，采集电阻率断面数据，反演得到堤身电阻率分布及沉积层厚度。 进一步地，所述空间配准步骤包括：利用地面控制点（GCP）或图像匹配算法（如SIFT）将遥感影像与地球物理数据关联，再通过多项式变换或弹性配准方法使两者几何一致。 进一步地，所述cGAN的生成器编码器包含多个下采样卷积层和残差块，解码器包含多个上采样卷积层和跳跃连接；所述条件输入在编码器第一层与遥感观测数据拼接，同时在地下模板图分支设置额外的通道注意力机制。 进一步地，所述损失函数中的地下模板约束项为正则化项，其形式为L_template = λ * MSE(Pred_map_binary, Template_valid_region)，其中Pred_map_binary为预测河道概率二值化后的河道区域，Template_valid_region为地下基底划定的河道可迁移区域（根据古河道宽度和基底深度定义的缓冲区），λ为权重系数，取值范围0.1-1.0。 此外，本发明还提供一种基于上述方法的计算机设备和存储介质，用于执行所述预测方法。</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与现有技术相比，本发明具有以下有益效果： 1. 首次将浅层高分辨率地震或水上连续电法获取的地下基底几何形态与沉积物属性作为不可变条件，嵌入条件生成对抗网络，使河道迁移预测严格受限于实际物理边界，避免了纯数据驱动模型预测结果超出河床可侵蚀/可沉积范围的问题，显著提高了预测的物理合理性。 2. 通过多源遥感影像（多光谱/SAR）与地球物理数据的空间配准，构建了包含平面形态演变和地下约束的联合输入，解决了传统方法中遥感与地球物理数据分离的问题，实现了多模态信息的深度融合，提升了预测精度。 3. 采用条件生成对抗网络生成概率性河道分布图，相比确定性预测（如单一河道边界），能够输出河道迁移的概率走廊，为河流管理决策提供更丰富的风险评估信息，预测的可靠性提升20%-30%。 4. 生成器采用U-Net架构和PatchGAN判别器，结合对抗损失、内容损失和地下模板约束项，能够有效生成高分辨率（如10米像素）的河道预测图，且训练过程收敛稳定，预测结果与实际情况的Dice相似系数平均可达0.85以上，高于仅使用遥感数据的cGAN方法（0.72）。 5. 本发明方法适用于不同规模的辫状河系统，尤其对数据密集的河段（如黄河下游、雅鲁藏布江）具有推广价值，模型输入灵活，可兼容多种遥感数据源和地球物理探测手段，降低了预测系统的部署成本。</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下面结合具体实施例对本发明作进一步详细描述，但本发明的实施方式不限于此。 实施例1： 本实施例以黄河下游某辫状河段为例，实施本发明方法。 步骤一：数据获取。收集该河段2005-2020年共15年的Landsat 8/9光学多光谱影像（空间分辨率30米）和Sentinel-1 SAR影像（分辨率10米），同时于2019年枯水期采用电火花震源浅层地震反射波法采集36条横剖面地震数据，探测深度30米，垂直分辨率0.3米。地震资料经处理得到基底反射界面和沉积层厚度。 步骤二：遥感影像处理。对Landsat影像进行辐射定标、大气校正和几何配准，计算NDWI提取逐年年际河道水边界，生成15期河道边界线；对SAR影像采用双阈值法（Otsu法）提取水体，并与光学结果交叉验证，形成最终河道轨迹图。地震剖面解译：识别古河道基底界面（根据反射波同相轴终止点），提取古河道埋深和宽度，生成地下模板图，像素分辨率重采样至10米。 步骤三：空间配准。利用河流拐弯处固定地物（如大桥、堤坝）作为控制点，对地震剖面解释的基底形态图与遥感河道轨迹图进行二阶多项式配准，均方根误差（RMSE）小于1个像素。配准后按年份分割数据：2005-2014年数据用于训练，2015-2017年数据用于验证，2018-2020年数据用于测试。 步骤四：cGAN构建与训练。构建生成器：U-Net编码器共5个下采样块（每块包含卷积、BatchNorm、ReLU），输入通道数为2（地下模板图+近期遥感观测拼接），输出通道数为1（河道概率图）。解码器对应5个上采样块，跳跃连接从编码器对应层连接。判别器：PatchGAN，输入为生成或真实河道图（大小为256×256像素），输出真/假图（30×30像素）。损失函数：对抗损失采用LSGAN形式，内容损失使用L1损失（权重100），地下模板约束项权重λ=0.5。训练迭代300个epochs，批量大小8，学习率0.0002，使用Adam优化器。 步骤五：预测与评估。输入测试期（2019年）的地下模板图和遥感观测（2018-2019年水位、河道影像），输出2020年河道概率分布图。结果：预测的主河道与实际遥感提取的河道重叠度（IoU）为0.79，迁移概率走廊与实际偏移方向一致，且未超出基底划定的可迁移范围。 实施例2： 本实施例描述另一种配置，采用水上连续电法（CECT）替代浅层地震。 以雅鲁藏布江某辫状河段为例，获取2010-2023年Sentinel-2多光谱影像（10米分辨率）和ALOS-2 PALSAR-2 SAR影像（10米分辨率）。于2021年丰水期使用48电极拖曳式CECT系统，电极距5米，采集8条纵剖面电阻率数据，探测深度0-40米。电阻率反演后，根据低阻层（粘土）与高阻层（砂卵石）的电阻率差异（通常粘土&lt;50 Ω·m，砂卵石&gt;200 Ω·m）识别古河道基底界面。地下模板图包含基底起伏度和沉积物属性（电性参数）。其余步骤与实施例1类似，但cGAN输入条件中增加电阻率值作为通道。训练后，预测2022-2023年河道变化，预测结果与实测遥感河道对比，河道迁移方向正确率达到90%，均方根误差（RMSE）为0.34 km，优于现有方法。 实施例3： 本实施例测试不同损失函数权重对结果的影响。在实施例1基础上，设置λ分别为0.1、0.3、0.5、0.7、1.0。实验表明，λ=0.5时预测河道概率图的F1分数最高（0.84），λ=0.1时预测河道有部分超出基底范围，λ=1.0时预测河道轮廓过于收缩，表明合理的λ值能有效平衡物理约束与数据驱动。建议λ取值范围0.3-0.7。 以上实施例仅用于说明本发明的技术方案，并非限制本发明的范围。本领域普通技术人员在不脱离本发明原理的前提下进行的各种修改和替换，均应视为本发明的保护范围。</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