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69" w:rsidRPr="00565608" w:rsidRDefault="00565608" w:rsidP="00565608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565608">
        <w:rPr>
          <w:rFonts w:ascii="微软雅黑" w:eastAsia="微软雅黑" w:hAnsi="微软雅黑" w:hint="eastAsia"/>
          <w:sz w:val="28"/>
          <w:szCs w:val="28"/>
        </w:rPr>
        <w:t>量化极客投资交易系统说明</w:t>
      </w:r>
    </w:p>
    <w:sdt>
      <w:sdtPr>
        <w:rPr>
          <w:lang w:val="zh-CN"/>
        </w:rPr>
        <w:id w:val="-10888506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65608" w:rsidRDefault="00565608" w:rsidP="00565608">
          <w:pPr>
            <w:pStyle w:val="TOC"/>
            <w:tabs>
              <w:tab w:val="left" w:pos="1365"/>
              <w:tab w:val="center" w:pos="4816"/>
            </w:tabs>
            <w:outlineLvl w:val="0"/>
          </w:pPr>
        </w:p>
        <w:p w:rsidR="00907723" w:rsidRDefault="00565608">
          <w:pPr>
            <w:pStyle w:val="1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842240" w:history="1">
            <w:r w:rsidR="00907723" w:rsidRPr="00B827B1">
              <w:rPr>
                <w:rStyle w:val="a5"/>
                <w:rFonts w:ascii="微软雅黑" w:eastAsia="微软雅黑" w:hAnsi="微软雅黑" w:hint="eastAsia"/>
                <w:noProof/>
              </w:rPr>
              <w:t>一、</w:t>
            </w:r>
            <w:r w:rsidR="00907723">
              <w:rPr>
                <w:noProof/>
                <w:kern w:val="2"/>
                <w:sz w:val="21"/>
              </w:rPr>
              <w:tab/>
            </w:r>
            <w:r w:rsidR="00907723" w:rsidRPr="00B827B1">
              <w:rPr>
                <w:rStyle w:val="a5"/>
                <w:rFonts w:ascii="微软雅黑" w:eastAsia="微软雅黑" w:hAnsi="微软雅黑" w:hint="eastAsia"/>
                <w:noProof/>
              </w:rPr>
              <w:t>整体逻辑框架：</w:t>
            </w:r>
            <w:r w:rsidR="00907723">
              <w:rPr>
                <w:noProof/>
                <w:webHidden/>
              </w:rPr>
              <w:tab/>
            </w:r>
            <w:r w:rsidR="00907723">
              <w:rPr>
                <w:noProof/>
                <w:webHidden/>
              </w:rPr>
              <w:fldChar w:fldCharType="begin"/>
            </w:r>
            <w:r w:rsidR="00907723">
              <w:rPr>
                <w:noProof/>
                <w:webHidden/>
              </w:rPr>
              <w:instrText xml:space="preserve"> PAGEREF _Toc365842240 \h </w:instrText>
            </w:r>
            <w:r w:rsidR="00907723">
              <w:rPr>
                <w:noProof/>
                <w:webHidden/>
              </w:rPr>
            </w:r>
            <w:r w:rsidR="00907723">
              <w:rPr>
                <w:noProof/>
                <w:webHidden/>
              </w:rPr>
              <w:fldChar w:fldCharType="separate"/>
            </w:r>
            <w:r w:rsidR="00907723">
              <w:rPr>
                <w:noProof/>
                <w:webHidden/>
              </w:rPr>
              <w:t>2</w:t>
            </w:r>
            <w:r w:rsidR="00907723"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63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41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数据准备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42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43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数据提取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44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数据库维护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63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45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投资分析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46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宏观指标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47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情绪指数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48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量化行业配置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49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中国合成</w:t>
            </w:r>
            <w:r w:rsidRPr="00B827B1">
              <w:rPr>
                <w:rStyle w:val="a5"/>
                <w:rFonts w:ascii="微软雅黑" w:eastAsia="微软雅黑" w:hAnsi="微软雅黑"/>
                <w:noProof/>
              </w:rPr>
              <w:t>VIX</w:t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指数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63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50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策略回溯测试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51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策略回溯设置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52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资金管理方案选择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53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并行测试选择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54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回溯测试执行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55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3.5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回溯结果报表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56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3.6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回溯数据库维护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57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3.7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自动回溯设置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63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58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59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合规设置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60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资金管理方案选择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61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交易执行监控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62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实时盈亏情况汇总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63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63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策略执行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64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期货价差套利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65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融资融券配对交易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66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股指期货无风险套利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67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5.4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中低频趋势交易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68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5.5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/>
                <w:noProof/>
              </w:rPr>
              <w:t>Alpha</w:t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对冲交易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69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5.6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指数基金构建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63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70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策略组合管理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71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策略分配优化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72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资金分配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73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策略组合监控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74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6.4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策略组合调整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75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6.5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紧急情况处理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63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76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绩效分析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77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7.1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投资业绩回顾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723" w:rsidRDefault="00907723">
          <w:pPr>
            <w:pStyle w:val="20"/>
            <w:tabs>
              <w:tab w:val="left" w:pos="840"/>
              <w:tab w:val="right" w:leader="dot" w:pos="9622"/>
            </w:tabs>
            <w:rPr>
              <w:noProof/>
              <w:kern w:val="2"/>
              <w:sz w:val="21"/>
            </w:rPr>
          </w:pPr>
          <w:hyperlink w:anchor="_Toc365842278" w:history="1">
            <w:r w:rsidRPr="00B827B1">
              <w:rPr>
                <w:rStyle w:val="a5"/>
                <w:rFonts w:ascii="微软雅黑" w:eastAsia="微软雅黑" w:hAnsi="微软雅黑"/>
                <w:noProof/>
              </w:rPr>
              <w:t>7.2</w:t>
            </w:r>
            <w:r>
              <w:rPr>
                <w:noProof/>
                <w:kern w:val="2"/>
                <w:sz w:val="21"/>
              </w:rPr>
              <w:tab/>
            </w:r>
            <w:r w:rsidRPr="00B827B1">
              <w:rPr>
                <w:rStyle w:val="a5"/>
                <w:rFonts w:ascii="微软雅黑" w:eastAsia="微软雅黑" w:hAnsi="微软雅黑" w:hint="eastAsia"/>
                <w:noProof/>
              </w:rPr>
              <w:t>绩效归因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_Toc365842278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608" w:rsidRPr="00565608" w:rsidRDefault="00565608" w:rsidP="00565608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65608" w:rsidRPr="00A831AC" w:rsidRDefault="00565608" w:rsidP="00565608">
      <w:pPr>
        <w:pStyle w:val="a6"/>
        <w:numPr>
          <w:ilvl w:val="0"/>
          <w:numId w:val="7"/>
        </w:numPr>
        <w:ind w:firstLineChars="0"/>
        <w:outlineLvl w:val="0"/>
        <w:rPr>
          <w:rFonts w:ascii="微软雅黑" w:eastAsia="微软雅黑" w:hAnsi="微软雅黑" w:hint="eastAsia"/>
        </w:rPr>
      </w:pPr>
      <w:bookmarkStart w:id="0" w:name="_Toc365842240"/>
      <w:r w:rsidRPr="00A831AC">
        <w:rPr>
          <w:rFonts w:ascii="微软雅黑" w:eastAsia="微软雅黑" w:hAnsi="微软雅黑" w:hint="eastAsia"/>
        </w:rPr>
        <w:t>整体逻辑框架</w:t>
      </w:r>
      <w:r w:rsidRPr="00A831AC">
        <w:rPr>
          <w:rFonts w:ascii="微软雅黑" w:eastAsia="微软雅黑" w:hAnsi="微软雅黑"/>
        </w:rPr>
        <w:t>：</w:t>
      </w:r>
      <w:bookmarkEnd w:id="0"/>
      <w:r w:rsidRPr="00A831AC">
        <w:rPr>
          <w:rFonts w:ascii="微软雅黑" w:eastAsia="微软雅黑" w:hAnsi="微软雅黑"/>
        </w:rPr>
        <w:tab/>
      </w:r>
      <w:r w:rsidRPr="00A831AC">
        <w:rPr>
          <w:rFonts w:ascii="微软雅黑" w:eastAsia="微软雅黑" w:hAnsi="微软雅黑"/>
        </w:rPr>
        <w:tab/>
      </w:r>
    </w:p>
    <w:p w:rsidR="00660A78" w:rsidRDefault="00565608" w:rsidP="00660A78">
      <w:pPr>
        <w:pStyle w:val="a6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" w:name="_Toc365842241"/>
      <w:r w:rsidRPr="00565608">
        <w:rPr>
          <w:rFonts w:ascii="微软雅黑" w:eastAsia="微软雅黑" w:hAnsi="微软雅黑" w:hint="eastAsia"/>
        </w:rPr>
        <w:t>数据准备</w:t>
      </w:r>
      <w:bookmarkEnd w:id="1"/>
    </w:p>
    <w:p w:rsidR="00565608" w:rsidRDefault="00660A78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" w:name="_Toc365842242"/>
      <w:r w:rsidRPr="00660A78">
        <w:rPr>
          <w:rFonts w:ascii="微软雅黑" w:eastAsia="微软雅黑" w:hAnsi="微软雅黑" w:hint="eastAsia"/>
        </w:rPr>
        <w:t>参数设置</w:t>
      </w:r>
      <w:bookmarkEnd w:id="2"/>
    </w:p>
    <w:p w:rsidR="006D5314" w:rsidRDefault="006D5314" w:rsidP="006D5314">
      <w:pPr>
        <w:pStyle w:val="a6"/>
        <w:ind w:left="1412" w:firstLineChars="0" w:firstLine="0"/>
        <w:outlineLvl w:val="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目前可以想象到的数据参数包括：</w:t>
      </w:r>
    </w:p>
    <w:p w:rsidR="006D5314" w:rsidRPr="00660A78" w:rsidRDefault="006D5314" w:rsidP="006D5314">
      <w:pPr>
        <w:pStyle w:val="a6"/>
        <w:ind w:left="1412" w:firstLineChars="0" w:firstLine="0"/>
        <w:outlineLvl w:val="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开始时间、结束时间、是否选取交易日、字段推荐、频率、数据库名字</w:t>
      </w:r>
      <w:r w:rsidR="00FC2E78">
        <w:rPr>
          <w:rFonts w:ascii="微软雅黑" w:eastAsia="微软雅黑" w:hAnsi="微软雅黑" w:hint="eastAsia"/>
        </w:rPr>
        <w:t>。</w:t>
      </w:r>
    </w:p>
    <w:p w:rsidR="00660A78" w:rsidRDefault="00660A78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" w:name="_Toc365842243"/>
      <w:r>
        <w:rPr>
          <w:rFonts w:ascii="微软雅黑" w:eastAsia="微软雅黑" w:hAnsi="微软雅黑" w:hint="eastAsia"/>
        </w:rPr>
        <w:t>数据提取</w:t>
      </w:r>
      <w:bookmarkEnd w:id="3"/>
    </w:p>
    <w:p w:rsidR="006D5314" w:rsidRPr="006D5314" w:rsidRDefault="004678E5" w:rsidP="004678E5">
      <w:pPr>
        <w:pStyle w:val="a6"/>
        <w:ind w:left="1412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数据库包括期货和融资融券两个。</w:t>
      </w:r>
      <w:r w:rsidR="006D5314" w:rsidRPr="004678E5">
        <w:rPr>
          <w:rFonts w:ascii="微软雅黑" w:eastAsia="微软雅黑" w:hAnsi="微软雅黑" w:hint="eastAsia"/>
        </w:rPr>
        <w:t>全部是落在</w:t>
      </w:r>
      <w:proofErr w:type="spellStart"/>
      <w:r w:rsidR="006D5314" w:rsidRPr="004678E5">
        <w:rPr>
          <w:rFonts w:ascii="微软雅黑" w:eastAsia="微软雅黑" w:hAnsi="微软雅黑" w:hint="eastAsia"/>
        </w:rPr>
        <w:t>MongoDB</w:t>
      </w:r>
      <w:proofErr w:type="spellEnd"/>
      <w:r w:rsidR="006D5314" w:rsidRPr="004678E5">
        <w:rPr>
          <w:rFonts w:ascii="微软雅黑" w:eastAsia="微软雅黑" w:hAnsi="微软雅黑" w:hint="eastAsia"/>
        </w:rPr>
        <w:t>中间，</w:t>
      </w:r>
      <w:proofErr w:type="spellStart"/>
      <w:r w:rsidR="006D5314" w:rsidRPr="004678E5">
        <w:rPr>
          <w:rFonts w:ascii="微软雅黑" w:eastAsia="微软雅黑" w:hAnsi="微软雅黑" w:hint="eastAsia"/>
        </w:rPr>
        <w:t>commodityIndex,securityMargin</w:t>
      </w:r>
      <w:proofErr w:type="spellEnd"/>
      <w:r w:rsidR="006D5314" w:rsidRPr="004678E5">
        <w:rPr>
          <w:rFonts w:ascii="微软雅黑" w:eastAsia="微软雅黑" w:hAnsi="微软雅黑" w:hint="eastAsia"/>
        </w:rPr>
        <w:t>两个，目前都保留的是日频率数据。Genesis里</w:t>
      </w:r>
      <w:proofErr w:type="spellStart"/>
      <w:r w:rsidR="006D5314" w:rsidRPr="004678E5">
        <w:rPr>
          <w:rFonts w:ascii="微软雅黑" w:eastAsia="微软雅黑" w:hAnsi="微软雅黑" w:hint="eastAsia"/>
        </w:rPr>
        <w:t>retrieveDataSample</w:t>
      </w:r>
      <w:proofErr w:type="spellEnd"/>
      <w:r w:rsidR="006D5314" w:rsidRPr="004678E5">
        <w:rPr>
          <w:rFonts w:ascii="微软雅黑" w:eastAsia="微软雅黑" w:hAnsi="微软雅黑" w:hint="eastAsia"/>
        </w:rPr>
        <w:t>就是用来落地这两个数据的。目前的字段是：open,high,low,close,volume,amt,pct_chg,swing,vwap,oi,oi_chg,settle</w:t>
      </w:r>
      <w:r w:rsidR="00FC2E78" w:rsidRPr="004678E5">
        <w:rPr>
          <w:rFonts w:ascii="微软雅黑" w:eastAsia="微软雅黑" w:hAnsi="微软雅黑" w:hint="eastAsia"/>
        </w:rPr>
        <w:t>。</w:t>
      </w:r>
      <w:bookmarkStart w:id="4" w:name="_GoBack"/>
      <w:bookmarkEnd w:id="4"/>
    </w:p>
    <w:p w:rsidR="00660A78" w:rsidRDefault="00660A78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5" w:name="_Toc365842244"/>
      <w:r w:rsidRPr="00660A78">
        <w:rPr>
          <w:rFonts w:ascii="微软雅黑" w:eastAsia="微软雅黑" w:hAnsi="微软雅黑" w:hint="eastAsia"/>
        </w:rPr>
        <w:t>数据库维护</w:t>
      </w:r>
      <w:bookmarkEnd w:id="5"/>
    </w:p>
    <w:p w:rsidR="00565608" w:rsidRDefault="00565608" w:rsidP="00565608">
      <w:pPr>
        <w:pStyle w:val="a6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6" w:name="_Toc365842245"/>
      <w:r w:rsidRPr="00565608">
        <w:rPr>
          <w:rFonts w:ascii="微软雅黑" w:eastAsia="微软雅黑" w:hAnsi="微软雅黑" w:hint="eastAsia"/>
        </w:rPr>
        <w:t>投资分析</w:t>
      </w:r>
      <w:bookmarkEnd w:id="6"/>
    </w:p>
    <w:p w:rsidR="00565608" w:rsidRDefault="00565608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7" w:name="_Toc365842246"/>
      <w:r>
        <w:rPr>
          <w:rFonts w:ascii="微软雅黑" w:eastAsia="微软雅黑" w:hAnsi="微软雅黑" w:hint="eastAsia"/>
        </w:rPr>
        <w:t>宏观指标</w:t>
      </w:r>
      <w:bookmarkEnd w:id="7"/>
    </w:p>
    <w:p w:rsidR="00565608" w:rsidRDefault="00565608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8" w:name="_Toc365842247"/>
      <w:r>
        <w:rPr>
          <w:rFonts w:ascii="微软雅黑" w:eastAsia="微软雅黑" w:hAnsi="微软雅黑" w:hint="eastAsia"/>
        </w:rPr>
        <w:t>情绪指数</w:t>
      </w:r>
      <w:bookmarkEnd w:id="8"/>
    </w:p>
    <w:p w:rsidR="00565608" w:rsidRDefault="00565608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9" w:name="_Toc365842248"/>
      <w:r>
        <w:rPr>
          <w:rFonts w:ascii="微软雅黑" w:eastAsia="微软雅黑" w:hAnsi="微软雅黑" w:hint="eastAsia"/>
        </w:rPr>
        <w:t>量化行业配置</w:t>
      </w:r>
      <w:bookmarkEnd w:id="9"/>
    </w:p>
    <w:p w:rsidR="00565608" w:rsidRDefault="00565608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0" w:name="_Toc365842249"/>
      <w:r>
        <w:rPr>
          <w:rFonts w:ascii="微软雅黑" w:eastAsia="微软雅黑" w:hAnsi="微软雅黑" w:hint="eastAsia"/>
        </w:rPr>
        <w:t>中国合成VIX指数</w:t>
      </w:r>
      <w:bookmarkEnd w:id="10"/>
    </w:p>
    <w:p w:rsidR="00565608" w:rsidRDefault="00565608" w:rsidP="00565608">
      <w:pPr>
        <w:pStyle w:val="a6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1" w:name="_Toc365842250"/>
      <w:r>
        <w:rPr>
          <w:rFonts w:ascii="微软雅黑" w:eastAsia="微软雅黑" w:hAnsi="微软雅黑" w:hint="eastAsia"/>
        </w:rPr>
        <w:t>策略回溯测试</w:t>
      </w:r>
      <w:bookmarkEnd w:id="11"/>
    </w:p>
    <w:p w:rsidR="00565608" w:rsidRDefault="00F03BDF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2" w:name="_Toc365842251"/>
      <w:r>
        <w:rPr>
          <w:rFonts w:ascii="微软雅黑" w:eastAsia="微软雅黑" w:hAnsi="微软雅黑" w:hint="eastAsia"/>
        </w:rPr>
        <w:t>策略</w:t>
      </w:r>
      <w:r w:rsidR="00565608">
        <w:rPr>
          <w:rFonts w:ascii="微软雅黑" w:eastAsia="微软雅黑" w:hAnsi="微软雅黑" w:hint="eastAsia"/>
        </w:rPr>
        <w:t>回溯</w:t>
      </w:r>
      <w:r>
        <w:rPr>
          <w:rFonts w:ascii="微软雅黑" w:eastAsia="微软雅黑" w:hAnsi="微软雅黑" w:hint="eastAsia"/>
        </w:rPr>
        <w:t>设置</w:t>
      </w:r>
      <w:bookmarkEnd w:id="12"/>
    </w:p>
    <w:p w:rsidR="00565608" w:rsidRDefault="00F03BDF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3" w:name="_Toc365842252"/>
      <w:r>
        <w:rPr>
          <w:rFonts w:ascii="微软雅黑" w:eastAsia="微软雅黑" w:hAnsi="微软雅黑" w:hint="eastAsia"/>
        </w:rPr>
        <w:lastRenderedPageBreak/>
        <w:t>资金管理方案选择</w:t>
      </w:r>
      <w:bookmarkEnd w:id="13"/>
    </w:p>
    <w:p w:rsidR="00F03BDF" w:rsidRDefault="00F03BDF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4" w:name="_Toc365842253"/>
      <w:r>
        <w:rPr>
          <w:rFonts w:ascii="微软雅黑" w:eastAsia="微软雅黑" w:hAnsi="微软雅黑" w:hint="eastAsia"/>
        </w:rPr>
        <w:t>并行测试选择</w:t>
      </w:r>
      <w:bookmarkEnd w:id="14"/>
    </w:p>
    <w:p w:rsidR="00F03BDF" w:rsidRDefault="00F03BDF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5" w:name="_Toc365842254"/>
      <w:r>
        <w:rPr>
          <w:rFonts w:ascii="微软雅黑" w:eastAsia="微软雅黑" w:hAnsi="微软雅黑" w:hint="eastAsia"/>
        </w:rPr>
        <w:t>回溯测试执行</w:t>
      </w:r>
      <w:bookmarkEnd w:id="15"/>
    </w:p>
    <w:p w:rsidR="00F03BDF" w:rsidRDefault="00F03BDF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6" w:name="_Toc365842255"/>
      <w:r>
        <w:rPr>
          <w:rFonts w:ascii="微软雅黑" w:eastAsia="微软雅黑" w:hAnsi="微软雅黑" w:hint="eastAsia"/>
        </w:rPr>
        <w:t>回溯结果报表</w:t>
      </w:r>
      <w:bookmarkEnd w:id="16"/>
    </w:p>
    <w:p w:rsidR="00F03BDF" w:rsidRDefault="00F03BDF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7" w:name="_Toc365842256"/>
      <w:r>
        <w:rPr>
          <w:rFonts w:ascii="微软雅黑" w:eastAsia="微软雅黑" w:hAnsi="微软雅黑" w:hint="eastAsia"/>
        </w:rPr>
        <w:t>回溯数据库维护</w:t>
      </w:r>
      <w:bookmarkEnd w:id="17"/>
    </w:p>
    <w:p w:rsidR="00F03BDF" w:rsidRDefault="00F03BDF" w:rsidP="00660A78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8" w:name="_Toc365842257"/>
      <w:r>
        <w:rPr>
          <w:rFonts w:ascii="微软雅黑" w:eastAsia="微软雅黑" w:hAnsi="微软雅黑" w:hint="eastAsia"/>
        </w:rPr>
        <w:t>自动回溯设置</w:t>
      </w:r>
      <w:bookmarkEnd w:id="18"/>
    </w:p>
    <w:p w:rsidR="00F03BDF" w:rsidRPr="00F03BDF" w:rsidRDefault="00F03BDF" w:rsidP="00F03BDF">
      <w:pPr>
        <w:pStyle w:val="a6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19" w:name="_Toc365842258"/>
      <w:r>
        <w:rPr>
          <w:rFonts w:ascii="微软雅黑" w:eastAsia="微软雅黑" w:hAnsi="微软雅黑" w:hint="eastAsia"/>
        </w:rPr>
        <w:t>风险管理</w:t>
      </w:r>
      <w:bookmarkEnd w:id="19"/>
    </w:p>
    <w:p w:rsidR="00565608" w:rsidRPr="00432829" w:rsidRDefault="00432829" w:rsidP="00432829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0" w:name="_Toc365842259"/>
      <w:r w:rsidRPr="00432829">
        <w:rPr>
          <w:rFonts w:ascii="微软雅黑" w:eastAsia="微软雅黑" w:hAnsi="微软雅黑" w:hint="eastAsia"/>
        </w:rPr>
        <w:t>合</w:t>
      </w:r>
      <w:proofErr w:type="gramStart"/>
      <w:r w:rsidRPr="00432829">
        <w:rPr>
          <w:rFonts w:ascii="微软雅黑" w:eastAsia="微软雅黑" w:hAnsi="微软雅黑" w:hint="eastAsia"/>
        </w:rPr>
        <w:t>规</w:t>
      </w:r>
      <w:proofErr w:type="gramEnd"/>
      <w:r w:rsidRPr="00432829">
        <w:rPr>
          <w:rFonts w:ascii="微软雅黑" w:eastAsia="微软雅黑" w:hAnsi="微软雅黑" w:hint="eastAsia"/>
        </w:rPr>
        <w:t>设置</w:t>
      </w:r>
      <w:bookmarkEnd w:id="20"/>
    </w:p>
    <w:p w:rsidR="00432829" w:rsidRPr="00432829" w:rsidRDefault="00432829" w:rsidP="00432829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1" w:name="_Toc365842260"/>
      <w:r w:rsidRPr="00432829">
        <w:rPr>
          <w:rFonts w:ascii="微软雅黑" w:eastAsia="微软雅黑" w:hAnsi="微软雅黑" w:hint="eastAsia"/>
        </w:rPr>
        <w:t>资金管理方案选择</w:t>
      </w:r>
      <w:bookmarkEnd w:id="21"/>
    </w:p>
    <w:p w:rsidR="00432829" w:rsidRPr="00432829" w:rsidRDefault="00432829" w:rsidP="00432829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2" w:name="_Toc365842261"/>
      <w:r w:rsidRPr="00432829">
        <w:rPr>
          <w:rFonts w:ascii="微软雅黑" w:eastAsia="微软雅黑" w:hAnsi="微软雅黑" w:hint="eastAsia"/>
        </w:rPr>
        <w:t>交易执行监控</w:t>
      </w:r>
      <w:bookmarkEnd w:id="22"/>
    </w:p>
    <w:p w:rsidR="00565608" w:rsidRDefault="00432829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3" w:name="_Toc365842262"/>
      <w:r w:rsidRPr="00432829">
        <w:rPr>
          <w:rFonts w:ascii="微软雅黑" w:eastAsia="微软雅黑" w:hAnsi="微软雅黑" w:hint="eastAsia"/>
        </w:rPr>
        <w:t>实时盈亏情况汇总</w:t>
      </w:r>
      <w:bookmarkEnd w:id="23"/>
    </w:p>
    <w:p w:rsidR="00907723" w:rsidRDefault="00907723" w:rsidP="00907723">
      <w:pPr>
        <w:pStyle w:val="a6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4" w:name="_Toc365842263"/>
      <w:r>
        <w:rPr>
          <w:rFonts w:ascii="微软雅黑" w:eastAsia="微软雅黑" w:hAnsi="微软雅黑" w:hint="eastAsia"/>
        </w:rPr>
        <w:t>策略执行</w:t>
      </w:r>
      <w:bookmarkEnd w:id="24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5" w:name="_Toc365842264"/>
      <w:r>
        <w:rPr>
          <w:rFonts w:ascii="微软雅黑" w:eastAsia="微软雅黑" w:hAnsi="微软雅黑" w:hint="eastAsia"/>
        </w:rPr>
        <w:t>期货价差套利</w:t>
      </w:r>
      <w:bookmarkEnd w:id="25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6" w:name="_Toc365842265"/>
      <w:r>
        <w:rPr>
          <w:rFonts w:ascii="微软雅黑" w:eastAsia="微软雅黑" w:hAnsi="微软雅黑" w:hint="eastAsia"/>
        </w:rPr>
        <w:t>融资融券配对交易</w:t>
      </w:r>
      <w:bookmarkEnd w:id="26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7" w:name="_Toc365842266"/>
      <w:r>
        <w:rPr>
          <w:rFonts w:ascii="微软雅黑" w:eastAsia="微软雅黑" w:hAnsi="微软雅黑" w:hint="eastAsia"/>
        </w:rPr>
        <w:t>股指期货无风险套利</w:t>
      </w:r>
      <w:bookmarkEnd w:id="27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8" w:name="_Toc365842267"/>
      <w:r>
        <w:rPr>
          <w:rFonts w:ascii="微软雅黑" w:eastAsia="微软雅黑" w:hAnsi="微软雅黑" w:hint="eastAsia"/>
        </w:rPr>
        <w:t>中低频趋势交易</w:t>
      </w:r>
      <w:bookmarkEnd w:id="28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29" w:name="_Toc365842268"/>
      <w:r>
        <w:rPr>
          <w:rFonts w:ascii="微软雅黑" w:eastAsia="微软雅黑" w:hAnsi="微软雅黑" w:hint="eastAsia"/>
        </w:rPr>
        <w:t>Alpha对冲交易</w:t>
      </w:r>
      <w:bookmarkEnd w:id="29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0" w:name="_Toc365842269"/>
      <w:r>
        <w:rPr>
          <w:rFonts w:ascii="微软雅黑" w:eastAsia="微软雅黑" w:hAnsi="微软雅黑" w:hint="eastAsia"/>
        </w:rPr>
        <w:t>指数基金构建</w:t>
      </w:r>
      <w:bookmarkEnd w:id="30"/>
    </w:p>
    <w:p w:rsidR="00907723" w:rsidRDefault="00907723" w:rsidP="00907723">
      <w:pPr>
        <w:pStyle w:val="a6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1" w:name="_Toc365842270"/>
      <w:r>
        <w:rPr>
          <w:rFonts w:ascii="微软雅黑" w:eastAsia="微软雅黑" w:hAnsi="微软雅黑" w:hint="eastAsia"/>
        </w:rPr>
        <w:t>策略组合管理</w:t>
      </w:r>
      <w:bookmarkEnd w:id="31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2" w:name="_Toc365842271"/>
      <w:r>
        <w:rPr>
          <w:rFonts w:ascii="微软雅黑" w:eastAsia="微软雅黑" w:hAnsi="微软雅黑" w:hint="eastAsia"/>
        </w:rPr>
        <w:t>策略分配优化</w:t>
      </w:r>
      <w:bookmarkEnd w:id="32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3" w:name="_Toc365842272"/>
      <w:r>
        <w:rPr>
          <w:rFonts w:ascii="微软雅黑" w:eastAsia="微软雅黑" w:hAnsi="微软雅黑" w:hint="eastAsia"/>
        </w:rPr>
        <w:t>资金分配</w:t>
      </w:r>
      <w:bookmarkEnd w:id="33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4" w:name="_Toc365842273"/>
      <w:r>
        <w:rPr>
          <w:rFonts w:ascii="微软雅黑" w:eastAsia="微软雅黑" w:hAnsi="微软雅黑" w:hint="eastAsia"/>
        </w:rPr>
        <w:t>策略组合监控</w:t>
      </w:r>
      <w:bookmarkEnd w:id="34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5" w:name="_Toc365842274"/>
      <w:r>
        <w:rPr>
          <w:rFonts w:ascii="微软雅黑" w:eastAsia="微软雅黑" w:hAnsi="微软雅黑" w:hint="eastAsia"/>
        </w:rPr>
        <w:t>策略组合调整</w:t>
      </w:r>
      <w:bookmarkEnd w:id="35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6" w:name="_Toc365842275"/>
      <w:r>
        <w:rPr>
          <w:rFonts w:ascii="微软雅黑" w:eastAsia="微软雅黑" w:hAnsi="微软雅黑" w:hint="eastAsia"/>
        </w:rPr>
        <w:t>紧急情况处理</w:t>
      </w:r>
      <w:bookmarkEnd w:id="36"/>
    </w:p>
    <w:p w:rsidR="00907723" w:rsidRDefault="00907723" w:rsidP="00907723">
      <w:pPr>
        <w:pStyle w:val="a6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7" w:name="_Toc365842276"/>
      <w:r>
        <w:rPr>
          <w:rFonts w:ascii="微软雅黑" w:eastAsia="微软雅黑" w:hAnsi="微软雅黑" w:hint="eastAsia"/>
        </w:rPr>
        <w:t>绩效分析</w:t>
      </w:r>
      <w:bookmarkEnd w:id="37"/>
    </w:p>
    <w:p w:rsid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8" w:name="_Toc365842277"/>
      <w:r>
        <w:rPr>
          <w:rFonts w:ascii="微软雅黑" w:eastAsia="微软雅黑" w:hAnsi="微软雅黑" w:hint="eastAsia"/>
        </w:rPr>
        <w:t>投资业绩回顾</w:t>
      </w:r>
      <w:bookmarkEnd w:id="38"/>
    </w:p>
    <w:p w:rsidR="00907723" w:rsidRPr="00907723" w:rsidRDefault="00907723" w:rsidP="00907723">
      <w:pPr>
        <w:pStyle w:val="a6"/>
        <w:numPr>
          <w:ilvl w:val="1"/>
          <w:numId w:val="10"/>
        </w:numPr>
        <w:ind w:firstLineChars="0"/>
        <w:outlineLvl w:val="1"/>
        <w:rPr>
          <w:rFonts w:ascii="微软雅黑" w:eastAsia="微软雅黑" w:hAnsi="微软雅黑" w:hint="eastAsia"/>
        </w:rPr>
      </w:pPr>
      <w:bookmarkStart w:id="39" w:name="_Toc365842278"/>
      <w:r>
        <w:rPr>
          <w:rFonts w:ascii="微软雅黑" w:eastAsia="微软雅黑" w:hAnsi="微软雅黑" w:hint="eastAsia"/>
        </w:rPr>
        <w:t>绩效归因</w:t>
      </w:r>
      <w:bookmarkEnd w:id="39"/>
    </w:p>
    <w:p w:rsidR="00565608" w:rsidRPr="00A831AC" w:rsidRDefault="00565608" w:rsidP="00565608">
      <w:pPr>
        <w:rPr>
          <w:rFonts w:ascii="微软雅黑" w:eastAsia="微软雅黑" w:hAnsi="微软雅黑" w:hint="eastAsia"/>
        </w:rPr>
      </w:pPr>
    </w:p>
    <w:p w:rsidR="00565608" w:rsidRPr="00565608" w:rsidRDefault="00565608" w:rsidP="00565608"/>
    <w:sectPr w:rsidR="00565608" w:rsidRPr="00565608" w:rsidSect="00E72233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D20" w:rsidRDefault="00652D20">
      <w:r>
        <w:separator/>
      </w:r>
    </w:p>
  </w:endnote>
  <w:endnote w:type="continuationSeparator" w:id="0">
    <w:p w:rsidR="00652D20" w:rsidRDefault="00652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233" w:rsidRDefault="00652D20">
    <w:pPr>
      <w:pStyle w:val="a3"/>
      <w:rPr>
        <w:rFonts w:ascii="Times New Roman" w:hAnsi="Times New Roman"/>
        <w:noProof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233" w:rsidRDefault="00652D20">
    <w:pPr>
      <w:pStyle w:val="a3"/>
      <w:rPr>
        <w:rFonts w:ascii="Times New Roman" w:hAnsi="Times New Roman"/>
        <w:noProof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D20" w:rsidRDefault="00652D20">
      <w:r>
        <w:separator/>
      </w:r>
    </w:p>
  </w:footnote>
  <w:footnote w:type="continuationSeparator" w:id="0">
    <w:p w:rsidR="00652D20" w:rsidRDefault="00652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233" w:rsidRDefault="00652D20">
    <w:pPr>
      <w:pStyle w:val="a3"/>
      <w:rPr>
        <w:rFonts w:ascii="Times New Roman" w:hAnsi="Times New Roman"/>
        <w:noProof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233" w:rsidRDefault="00652D20">
    <w:pPr>
      <w:pStyle w:val="a3"/>
      <w:rPr>
        <w:rFonts w:ascii="Times New Roman" w:hAnsi="Times New Roman"/>
        <w:noProof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/>
      </w:pPr>
      <w:rPr>
        <w:rFonts w:cs="Times New Roman"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cs="Times New Roman"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cs="Times New Roman"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cs="Times New Roman"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cs="Times New Roman"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cs="Times New Roman"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cs="Times New Roman"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cs="Times New Roman"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cs="Times New Roman"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2"/>
      <w:numFmt w:val="decimal"/>
      <w:isLgl/>
      <w:lvlText w:val="%1."/>
      <w:lvlJc w:val="left"/>
      <w:pPr>
        <w:tabs>
          <w:tab w:val="num" w:pos="260"/>
        </w:tabs>
        <w:ind w:left="260"/>
      </w:pPr>
      <w:rPr>
        <w:rFonts w:cs="Times New Roman"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cs="Times New Roman"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cs="Times New Roman"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cs="Times New Roman"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cs="Times New Roman"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cs="Times New Roman"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cs="Times New Roman"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cs="Times New Roman"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cs="Times New Roman" w:hint="default"/>
        <w:position w:val="0"/>
      </w:rPr>
    </w:lvl>
  </w:abstractNum>
  <w:abstractNum w:abstractNumId="2">
    <w:nsid w:val="00000003"/>
    <w:multiLevelType w:val="multilevel"/>
    <w:tmpl w:val="894EE875"/>
    <w:lvl w:ilvl="0">
      <w:start w:val="8"/>
      <w:numFmt w:val="decimal"/>
      <w:isLgl/>
      <w:lvlText w:val="%1."/>
      <w:lvlJc w:val="left"/>
      <w:pPr>
        <w:tabs>
          <w:tab w:val="num" w:pos="260"/>
        </w:tabs>
        <w:ind w:left="260"/>
      </w:pPr>
      <w:rPr>
        <w:rFonts w:cs="Times New Roman"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cs="Times New Roman"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cs="Times New Roman"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cs="Times New Roman"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cs="Times New Roman"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cs="Times New Roman"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cs="Times New Roman"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cs="Times New Roman"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cs="Times New Roman" w:hint="default"/>
        <w:position w:val="0"/>
      </w:rPr>
    </w:lvl>
  </w:abstractNum>
  <w:abstractNum w:abstractNumId="3">
    <w:nsid w:val="0F420E6F"/>
    <w:multiLevelType w:val="hybridMultilevel"/>
    <w:tmpl w:val="D346A1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D683F"/>
    <w:multiLevelType w:val="multilevel"/>
    <w:tmpl w:val="191CA8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7964F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8375269"/>
    <w:multiLevelType w:val="multilevel"/>
    <w:tmpl w:val="944CBEC6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lowerRoman"/>
      <w:lvlText w:val="%2."/>
      <w:lvlJc w:val="right"/>
      <w:pPr>
        <w:ind w:left="141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>
    <w:nsid w:val="38D92E84"/>
    <w:multiLevelType w:val="hybridMultilevel"/>
    <w:tmpl w:val="FC4A46E4"/>
    <w:lvl w:ilvl="0" w:tplc="D2A6CECC">
      <w:start w:val="1"/>
      <w:numFmt w:val="japaneseCounting"/>
      <w:lvlText w:val="%1、"/>
      <w:lvlJc w:val="left"/>
      <w:pPr>
        <w:ind w:left="498" w:hanging="4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1D6E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90F1987"/>
    <w:multiLevelType w:val="multilevel"/>
    <w:tmpl w:val="F6805090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bullet"/>
      <w:lvlText w:val=""/>
      <w:lvlJc w:val="left"/>
      <w:pPr>
        <w:ind w:left="141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>
    <w:nsid w:val="5063340C"/>
    <w:multiLevelType w:val="multilevel"/>
    <w:tmpl w:val="191CA8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2971377"/>
    <w:multiLevelType w:val="hybridMultilevel"/>
    <w:tmpl w:val="6C9E6238"/>
    <w:lvl w:ilvl="0" w:tplc="F062A4EC">
      <w:start w:val="1"/>
      <w:numFmt w:val="japaneseCounting"/>
      <w:lvlText w:val="%1、"/>
      <w:lvlJc w:val="left"/>
      <w:pPr>
        <w:ind w:left="422" w:hanging="42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2D401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>
    <w:nsid w:val="6C5B1D3A"/>
    <w:multiLevelType w:val="multilevel"/>
    <w:tmpl w:val="4FFE4740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7DAE4764"/>
    <w:multiLevelType w:val="hybridMultilevel"/>
    <w:tmpl w:val="47B692D4"/>
    <w:lvl w:ilvl="0" w:tplc="4190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B42FB5"/>
    <w:multiLevelType w:val="multilevel"/>
    <w:tmpl w:val="D5E8C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5"/>
  </w:num>
  <w:num w:numId="6">
    <w:abstractNumId w:val="14"/>
  </w:num>
  <w:num w:numId="7">
    <w:abstractNumId w:val="3"/>
  </w:num>
  <w:num w:numId="8">
    <w:abstractNumId w:val="11"/>
  </w:num>
  <w:num w:numId="9">
    <w:abstractNumId w:val="13"/>
  </w:num>
  <w:num w:numId="10">
    <w:abstractNumId w:val="12"/>
  </w:num>
  <w:num w:numId="11">
    <w:abstractNumId w:val="9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46"/>
    <w:rsid w:val="00150E46"/>
    <w:rsid w:val="002C7371"/>
    <w:rsid w:val="00432829"/>
    <w:rsid w:val="004678E5"/>
    <w:rsid w:val="00565608"/>
    <w:rsid w:val="00652D20"/>
    <w:rsid w:val="00660A78"/>
    <w:rsid w:val="006D5314"/>
    <w:rsid w:val="00745CA1"/>
    <w:rsid w:val="00907723"/>
    <w:rsid w:val="00A831AC"/>
    <w:rsid w:val="00AA14AF"/>
    <w:rsid w:val="00AB4285"/>
    <w:rsid w:val="00B742BD"/>
    <w:rsid w:val="00CA2269"/>
    <w:rsid w:val="00EB7D2C"/>
    <w:rsid w:val="00F03BDF"/>
    <w:rsid w:val="00FC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2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22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22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226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A226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A226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A226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与页脚"/>
    <w:rsid w:val="00B742BD"/>
    <w:pPr>
      <w:tabs>
        <w:tab w:val="right" w:pos="9632"/>
      </w:tabs>
    </w:pPr>
    <w:rPr>
      <w:rFonts w:ascii="Helvetica" w:eastAsia="ヒラギノ角ゴ Pro W3" w:hAnsi="Helvetica" w:cs="Times New Roman"/>
      <w:color w:val="00000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2C73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73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2C73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7371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C737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C737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2C737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A226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A22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22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22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22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22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A226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A22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A2269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CA22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2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22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22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226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A226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A226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A226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与页脚"/>
    <w:rsid w:val="00B742BD"/>
    <w:pPr>
      <w:tabs>
        <w:tab w:val="right" w:pos="9632"/>
      </w:tabs>
    </w:pPr>
    <w:rPr>
      <w:rFonts w:ascii="Helvetica" w:eastAsia="ヒラギノ角ゴ Pro W3" w:hAnsi="Helvetica" w:cs="Times New Roman"/>
      <w:color w:val="00000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2C73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73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2C73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7371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C737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C737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2C737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A226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A22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22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22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22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22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A226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A22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A2269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CA2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E"/>
    <w:rsid w:val="00901C4D"/>
    <w:rsid w:val="00B4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F54BBC90304FC1900AB5A1EBA23AC4">
    <w:name w:val="D3F54BBC90304FC1900AB5A1EBA23AC4"/>
    <w:rsid w:val="00B46C2E"/>
    <w:pPr>
      <w:widowControl w:val="0"/>
      <w:jc w:val="both"/>
    </w:pPr>
  </w:style>
  <w:style w:type="paragraph" w:customStyle="1" w:styleId="56717C15E35845A3B29FA500CEBD0B44">
    <w:name w:val="56717C15E35845A3B29FA500CEBD0B44"/>
    <w:rsid w:val="00B46C2E"/>
    <w:pPr>
      <w:widowControl w:val="0"/>
      <w:jc w:val="both"/>
    </w:pPr>
  </w:style>
  <w:style w:type="paragraph" w:customStyle="1" w:styleId="EF3D3BC7BD234A668D03F0E36B6F01EC">
    <w:name w:val="EF3D3BC7BD234A668D03F0E36B6F01EC"/>
    <w:rsid w:val="00B46C2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F54BBC90304FC1900AB5A1EBA23AC4">
    <w:name w:val="D3F54BBC90304FC1900AB5A1EBA23AC4"/>
    <w:rsid w:val="00B46C2E"/>
    <w:pPr>
      <w:widowControl w:val="0"/>
      <w:jc w:val="both"/>
    </w:pPr>
  </w:style>
  <w:style w:type="paragraph" w:customStyle="1" w:styleId="56717C15E35845A3B29FA500CEBD0B44">
    <w:name w:val="56717C15E35845A3B29FA500CEBD0B44"/>
    <w:rsid w:val="00B46C2E"/>
    <w:pPr>
      <w:widowControl w:val="0"/>
      <w:jc w:val="both"/>
    </w:pPr>
  </w:style>
  <w:style w:type="paragraph" w:customStyle="1" w:styleId="EF3D3BC7BD234A668D03F0E36B6F01EC">
    <w:name w:val="EF3D3BC7BD234A668D03F0E36B6F01EC"/>
    <w:rsid w:val="00B46C2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3AEA0-6A5F-4BD7-A9BA-9CE831CF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</dc:creator>
  <cp:keywords/>
  <dc:description/>
  <cp:lastModifiedBy>Justin Li</cp:lastModifiedBy>
  <cp:revision>18</cp:revision>
  <dcterms:created xsi:type="dcterms:W3CDTF">2013-09-01T13:04:00Z</dcterms:created>
  <dcterms:modified xsi:type="dcterms:W3CDTF">2013-09-01T15:47:00Z</dcterms:modified>
</cp:coreProperties>
</file>