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i/>
          <w:color w:val="444444"/>
          <w:sz w:val="20"/>
        </w:rPr>
        <w:t>Table 1. Baltimore City Socioeconomic Indicators, Selected Years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0" w:type="auto"/>
        <w:tblLayout w:type="fixed"/>
        <w:jc w:val="center"/>
      </w:tblPr>
      <w:tblGrid>
        <w:gridCol w:w="1851"/>
        <w:gridCol w:w="1851"/>
        <w:gridCol w:w="1851"/>
        <w:gridCol w:w="1851"/>
        <w:gridCol w:w="1851"/>
        <w:gridCol w:w="1851"/>
        <w:gridCol w:w="1851"/>
      </w:tblGrid>
      <w:tr>
        <w:tc>
          <w:tcPr>
            <w:tcW w:type="dxa" w:w="1440"/>
            <w:shd w:val="clear" w:color="auto" w:fill="1F4E79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Year</w:t>
            </w:r>
          </w:p>
        </w:tc>
        <w:tc>
          <w:tcPr>
            <w:tcW w:type="dxa" w:w="1440"/>
            <w:shd w:val="clear" w:color="auto" w:fill="1F4E79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Population</w:t>
            </w:r>
          </w:p>
        </w:tc>
        <w:tc>
          <w:tcPr>
            <w:tcW w:type="dxa" w:w="1440"/>
            <w:shd w:val="clear" w:color="auto" w:fill="1F4E79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Labor Force</w:t>
            </w:r>
          </w:p>
        </w:tc>
        <w:tc>
          <w:tcPr>
            <w:tcW w:type="dxa" w:w="1440"/>
            <w:shd w:val="clear" w:color="auto" w:fill="1F4E79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Employed Persons</w:t>
            </w:r>
          </w:p>
        </w:tc>
        <w:tc>
          <w:tcPr>
            <w:tcW w:type="dxa" w:w="1440"/>
            <w:shd w:val="clear" w:color="auto" w:fill="1F4E79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Unemp. Rate (%)</w:t>
            </w:r>
          </w:p>
        </w:tc>
        <w:tc>
          <w:tcPr>
            <w:tcW w:type="dxa" w:w="1440"/>
            <w:shd w:val="clear" w:color="auto" w:fill="1F4E79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Median HH Income</w:t>
              <w:br/>
              <w:t>(Real 2024$)</w:t>
            </w:r>
          </w:p>
        </w:tc>
        <w:tc>
          <w:tcPr>
            <w:tcW w:type="dxa" w:w="1440"/>
            <w:shd w:val="clear" w:color="auto" w:fill="1F4E79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House Price</w:t>
              <w:br/>
              <w:t>Index</w:t>
            </w:r>
          </w:p>
        </w:tc>
      </w:tr>
      <w:tr>
        <w:tc>
          <w:tcPr>
            <w:tcW w:type="dxa" w:w="1440"/>
            <w:shd w:val="clear" w:color="auto" w:fill="F2F2F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1990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735,632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337,841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312,117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7.6%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—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77.1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1995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701,685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313,158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287,332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8.3%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—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81.0</w:t>
            </w:r>
          </w:p>
        </w:tc>
      </w:tr>
      <w:tr>
        <w:tc>
          <w:tcPr>
            <w:tcW w:type="dxa" w:w="1440"/>
            <w:shd w:val="clear" w:color="auto" w:fill="F2F2F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2000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648,746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280,104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263,514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5.9%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$55,903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100.0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2002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642,514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275,376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255,735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7.1%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$51,804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119.8</w:t>
            </w:r>
          </w:p>
        </w:tc>
      </w:tr>
      <w:tr>
        <w:tc>
          <w:tcPr>
            <w:tcW w:type="dxa" w:w="1440"/>
            <w:shd w:val="clear" w:color="auto" w:fill="F2F2F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2005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640,064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274,072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255,001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7.0%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$54,444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180.8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2010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620,942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296,834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263,211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11.3%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$54,470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180.7</w:t>
            </w:r>
          </w:p>
        </w:tc>
      </w:tr>
      <w:tr>
        <w:tc>
          <w:tcPr>
            <w:tcW w:type="dxa" w:w="1440"/>
            <w:shd w:val="clear" w:color="auto" w:fill="F2F2F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2012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623,035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298,049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268,157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10.0%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$52,925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168.0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2015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622,831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295,986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273,886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7.5%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$56,493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186.1</w:t>
            </w:r>
          </w:p>
        </w:tc>
      </w:tr>
      <w:tr>
        <w:tc>
          <w:tcPr>
            <w:tcW w:type="dxa" w:w="1440"/>
            <w:shd w:val="clear" w:color="auto" w:fill="F2F2F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2020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583,295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290,141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266,224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8.3%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$62,458</w:t>
            </w:r>
          </w:p>
        </w:tc>
        <w:tc>
          <w:tcPr>
            <w:tcW w:type="dxa" w:w="1440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209.4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2024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570,053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282,716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271,271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4.0%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$63,451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266.7</w:t>
            </w:r>
          </w:p>
        </w:tc>
      </w:tr>
    </w:tbl>
    <w:p>
      <w:pPr>
        <w:ind w:left="1440" w:right="1440"/>
      </w:pPr>
      <w:r>
        <w:rPr>
          <w:rFonts w:ascii="Aptos" w:hAnsi="Aptos"/>
          <w:i/>
          <w:color w:val="666666"/>
          <w:sz w:val="16"/>
        </w:rPr>
        <w:t>Note: House Price Index indexed to 2000=100. Median household income deflated to 2024 dollars using Baltimore-Columbia-Towson, MD CPI. Data Sources: Federal Reserve Bank of St. Louis (FRED), Baltimore City Series; Bureau of Labor Statistics (CPI).</w:t>
      </w:r>
    </w:p>
    <w:sectPr w:rsidR="00FC693F" w:rsidRPr="0006063C" w:rsidSect="00034616">
      <w:pgSz w:w="15840" w:h="122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