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17DA" w14:textId="7E12FF2F" w:rsidR="00B2668D" w:rsidRPr="00B2668D" w:rsidRDefault="00B2668D" w:rsidP="00B2668D">
      <w:r w:rsidRPr="00B2668D">
        <w:t>The framing practically writes itself: "here's what the 2012 and 2022 waves look like with the data currently available; here's what a full SDAT time series would let us estimate; here's why that matters for the 2032 redesignation cycle." That's a pitch for continued collaboration, not just a paper submission.</w:t>
      </w:r>
    </w:p>
    <w:p w14:paraId="63CC1FAB" w14:textId="643D8967" w:rsidR="00B2668D" w:rsidRPr="00B2668D" w:rsidRDefault="00B2668D" w:rsidP="00B2668D">
      <w:r w:rsidRPr="00B2668D">
        <w:rPr>
          <w:b/>
          <w:bCs/>
        </w:rPr>
        <w:t>Background (20%)</w:t>
      </w:r>
      <w:r w:rsidRPr="00B2668D">
        <w:t xml:space="preserve"> — Baltimore's economic trajectory, the EZ program history across three waves, why property value effects matter for a city with Baltimore's tax base challenges. You've already drafted a lot of this material.</w:t>
      </w:r>
    </w:p>
    <w:p w14:paraId="28E7C0DC" w14:textId="77777777" w:rsidR="00B2668D" w:rsidRPr="00B2668D" w:rsidRDefault="00B2668D" w:rsidP="00B2668D">
      <w:r w:rsidRPr="00B2668D">
        <w:rPr>
          <w:b/>
          <w:bCs/>
        </w:rPr>
        <w:t>Policy Analysis (60%)</w:t>
      </w:r>
      <w:r w:rsidRPr="00B2668D">
        <w:t xml:space="preserve"> — this is where the Rosen-Roback framework, your OLS with interaction terms, the spatial analysis (Moran's I, LISA, GWR), and the figures/tables all live. The complementary waves strategy gives you a natural two-part empirical section: pre-trend validation via 2012, treatment effect estimation via 2022.</w:t>
      </w:r>
    </w:p>
    <w:p w14:paraId="5DDE7450" w14:textId="77777777" w:rsidR="00B2668D" w:rsidRPr="00B2668D" w:rsidRDefault="00B2668D" w:rsidP="00B2668D">
      <w:r w:rsidRPr="00B2668D">
        <w:rPr>
          <w:b/>
          <w:bCs/>
        </w:rPr>
        <w:t>Discussion (20%)</w:t>
      </w:r>
      <w:r w:rsidRPr="00B2668D">
        <w:t xml:space="preserve"> — parallel trends borrowing, data limitations, the 2026 mid-cycle amendment as a complication, implications for the 2032 cycle, and the explicit call for SDAT to maintain a longitudinal archive.</w:t>
      </w:r>
    </w:p>
    <w:p w14:paraId="7F37287E" w14:textId="77777777" w:rsidR="00B2668D" w:rsidRDefault="00B2668D"/>
    <w:sectPr w:rsidR="00B26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8D"/>
    <w:rsid w:val="00B2668D"/>
    <w:rsid w:val="00D8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F91A"/>
  <w15:chartTrackingRefBased/>
  <w15:docId w15:val="{2243DFDE-DD62-4684-B003-23F3325C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Orsini</dc:creator>
  <cp:keywords/>
  <dc:description/>
  <cp:lastModifiedBy>Nicholas Orsini</cp:lastModifiedBy>
  <cp:revision>1</cp:revision>
  <dcterms:created xsi:type="dcterms:W3CDTF">2026-04-15T02:24:00Z</dcterms:created>
  <dcterms:modified xsi:type="dcterms:W3CDTF">2026-04-15T02:24:00Z</dcterms:modified>
</cp:coreProperties>
</file>