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73F1" w14:textId="77777777" w:rsidR="00026C4D" w:rsidRDefault="00026C4D" w:rsidP="00026C4D">
      <w:pPr>
        <w:pStyle w:val="Heading1"/>
        <w:spacing w:after="0"/>
      </w:pPr>
      <w:r>
        <w:t>Proposal Instructions:</w:t>
      </w:r>
    </w:p>
    <w:p w14:paraId="53C49CBF" w14:textId="77777777" w:rsidR="00026C4D" w:rsidRDefault="00026C4D" w:rsidP="00026C4D">
      <w:pPr>
        <w:spacing w:after="0"/>
        <w:ind w:left="360"/>
      </w:pPr>
      <w:r w:rsidRPr="008F6EB1">
        <w:t>Length: 1–2 pages</w:t>
      </w:r>
    </w:p>
    <w:p w14:paraId="38BE2E11" w14:textId="77777777" w:rsidR="00026C4D" w:rsidRDefault="00026C4D" w:rsidP="00026C4D">
      <w:pPr>
        <w:pStyle w:val="Heading5"/>
        <w:numPr>
          <w:ilvl w:val="0"/>
          <w:numId w:val="1"/>
        </w:numPr>
        <w:tabs>
          <w:tab w:val="num" w:pos="360"/>
        </w:tabs>
        <w:spacing w:after="0"/>
        <w:ind w:left="360" w:firstLine="0"/>
      </w:pPr>
      <w:r w:rsidRPr="008F6EB1">
        <w:t>City and Policy Topi</w:t>
      </w:r>
      <w:r>
        <w:t>c</w:t>
      </w:r>
    </w:p>
    <w:p w14:paraId="72FA247B" w14:textId="77777777" w:rsidR="00026C4D" w:rsidRPr="008F6EB1" w:rsidRDefault="00026C4D" w:rsidP="00026C4D">
      <w:pPr>
        <w:pStyle w:val="ListParagraph"/>
        <w:numPr>
          <w:ilvl w:val="0"/>
          <w:numId w:val="4"/>
        </w:numPr>
        <w:spacing w:after="0"/>
        <w:ind w:hanging="270"/>
      </w:pPr>
      <w:r w:rsidRPr="008F6EB1">
        <w:t>Identify the city you plan to study and briefly describe the policy issue you will analyze.</w:t>
      </w:r>
    </w:p>
    <w:p w14:paraId="01566884" w14:textId="77777777" w:rsidR="00026C4D" w:rsidRDefault="00026C4D" w:rsidP="00026C4D">
      <w:pPr>
        <w:pStyle w:val="ListParagraph"/>
        <w:numPr>
          <w:ilvl w:val="0"/>
          <w:numId w:val="1"/>
        </w:numPr>
        <w:spacing w:after="0"/>
        <w:rPr>
          <w:rStyle w:val="Heading5Char"/>
        </w:rPr>
      </w:pPr>
      <w:r w:rsidRPr="008F6EB1">
        <w:rPr>
          <w:rStyle w:val="Heading5Char"/>
        </w:rPr>
        <w:t>Policy Question</w:t>
      </w:r>
    </w:p>
    <w:p w14:paraId="6AF43DBB" w14:textId="77777777" w:rsidR="00026C4D" w:rsidRPr="008F6EB1" w:rsidRDefault="00026C4D" w:rsidP="00026C4D">
      <w:pPr>
        <w:pStyle w:val="ListParagraph"/>
        <w:numPr>
          <w:ilvl w:val="0"/>
          <w:numId w:val="3"/>
        </w:numPr>
        <w:spacing w:after="0"/>
        <w:ind w:hanging="270"/>
      </w:pPr>
      <w:r w:rsidRPr="008F6EB1">
        <w:t>State the specific question your project will address.</w:t>
      </w:r>
    </w:p>
    <w:p w14:paraId="36F12E77" w14:textId="77777777" w:rsidR="00026C4D" w:rsidRDefault="00026C4D" w:rsidP="00026C4D">
      <w:pPr>
        <w:pStyle w:val="ListParagraph"/>
        <w:numPr>
          <w:ilvl w:val="0"/>
          <w:numId w:val="1"/>
        </w:numPr>
        <w:spacing w:after="0"/>
        <w:rPr>
          <w:rStyle w:val="Heading5Char"/>
        </w:rPr>
      </w:pPr>
      <w:r w:rsidRPr="008F6EB1">
        <w:rPr>
          <w:rStyle w:val="Heading5Char"/>
        </w:rPr>
        <w:t>Relevant Urban Economic Models</w:t>
      </w:r>
    </w:p>
    <w:p w14:paraId="5D905017" w14:textId="77777777" w:rsidR="00026C4D" w:rsidRPr="008F6EB1" w:rsidRDefault="00026C4D" w:rsidP="00026C4D">
      <w:pPr>
        <w:pStyle w:val="ListParagraph"/>
        <w:numPr>
          <w:ilvl w:val="0"/>
          <w:numId w:val="2"/>
        </w:numPr>
        <w:spacing w:after="0"/>
        <w:ind w:hanging="270"/>
      </w:pPr>
      <w:r w:rsidRPr="008F6EB1">
        <w:t>Identify one or more models from the course that you expect to use in your analysis and briefly explain how they relate to the policy question.</w:t>
      </w:r>
    </w:p>
    <w:p w14:paraId="045D596D" w14:textId="77777777" w:rsidR="00026C4D" w:rsidRDefault="00026C4D" w:rsidP="00026C4D">
      <w:pPr>
        <w:pStyle w:val="ListParagraph"/>
        <w:numPr>
          <w:ilvl w:val="0"/>
          <w:numId w:val="1"/>
        </w:numPr>
        <w:spacing w:after="0"/>
      </w:pPr>
      <w:r w:rsidRPr="008F6EB1">
        <w:rPr>
          <w:rStyle w:val="Heading5Char"/>
        </w:rPr>
        <w:t>Potential Data Source</w:t>
      </w:r>
      <w:r>
        <w:rPr>
          <w:rStyle w:val="Heading5Char"/>
        </w:rPr>
        <w:t>s</w:t>
      </w:r>
    </w:p>
    <w:p w14:paraId="0C3C60A0" w14:textId="77777777" w:rsidR="00026C4D" w:rsidRDefault="00026C4D" w:rsidP="00026C4D">
      <w:pPr>
        <w:pStyle w:val="ListParagraph"/>
        <w:numPr>
          <w:ilvl w:val="0"/>
          <w:numId w:val="2"/>
        </w:numPr>
        <w:spacing w:after="0"/>
        <w:ind w:hanging="270"/>
      </w:pPr>
      <w:r w:rsidRPr="008F6EB1">
        <w:t>Briefly describe the data you expect to use.</w:t>
      </w:r>
    </w:p>
    <w:p w14:paraId="253109D6" w14:textId="77777777" w:rsidR="00026C4D" w:rsidRDefault="00026C4D" w:rsidP="00026C4D">
      <w:pPr>
        <w:spacing w:after="0"/>
      </w:pPr>
    </w:p>
    <w:p w14:paraId="7BB819A5" w14:textId="77777777" w:rsidR="00026C4D" w:rsidRPr="008F6EB1" w:rsidRDefault="00026C4D" w:rsidP="00026C4D">
      <w:pPr>
        <w:spacing w:after="0"/>
      </w:pPr>
    </w:p>
    <w:p w14:paraId="71A41992" w14:textId="1B73552E" w:rsidR="00026C4D" w:rsidRDefault="00026C4D" w:rsidP="00026C4D">
      <w:pPr>
        <w:pStyle w:val="Heading1"/>
        <w:numPr>
          <w:ilvl w:val="0"/>
          <w:numId w:val="5"/>
        </w:numPr>
      </w:pPr>
      <w:r>
        <w:t>City and Policy Topic</w:t>
      </w:r>
    </w:p>
    <w:p w14:paraId="6781BF71" w14:textId="77777777" w:rsidR="006C6F94" w:rsidRDefault="005B790A" w:rsidP="00026C4D">
      <w:pPr>
        <w:ind w:left="360"/>
      </w:pPr>
      <w:r>
        <w:t>The Enterprise Zone program was established in 1982</w:t>
      </w:r>
      <w:r w:rsidR="006C6F94">
        <w:t>. …</w:t>
      </w:r>
    </w:p>
    <w:p w14:paraId="38EA6F7B" w14:textId="071FBC26" w:rsidR="00026C4D" w:rsidRDefault="00026C4D" w:rsidP="00026C4D">
      <w:pPr>
        <w:ind w:left="360"/>
      </w:pPr>
      <w:r w:rsidRPr="00026C4D">
        <w:t>This paper will analyze the treatment effects Enterprise Zone Designations (EZD) have had on the development of neighborhoods in Baltimore, Maryland</w:t>
      </w:r>
      <w:r>
        <w:t xml:space="preserve">. </w:t>
      </w:r>
    </w:p>
    <w:p w14:paraId="2B1B8B44" w14:textId="60A2DD27" w:rsidR="00026C4D" w:rsidRDefault="00026C4D" w:rsidP="00026C4D">
      <w:pPr>
        <w:ind w:left="360"/>
      </w:pPr>
      <w:r>
        <w:t xml:space="preserve">The Baltimore Development Corporation (BDC) manages the </w:t>
      </w:r>
      <w:r w:rsidRPr="00026C4D">
        <w:t>State of Maryland Enterprise Zone (EZ) program in Baltimore City.</w:t>
      </w:r>
      <w:r w:rsidR="00106FC7">
        <w:t xml:space="preserve"> The EZ program provides property and state income tax credits for businesses within these areas. (BDC, n.d.). The goal of the EZ program is</w:t>
      </w:r>
      <w:r w:rsidR="00437BB2">
        <w:t xml:space="preserve"> to</w:t>
      </w:r>
      <w:r w:rsidR="00106FC7">
        <w:t xml:space="preserve"> attract new development and business growth. </w:t>
      </w:r>
    </w:p>
    <w:p w14:paraId="79E7597B" w14:textId="018B1392" w:rsidR="00106FC7" w:rsidRDefault="00106FC7" w:rsidP="00106FC7">
      <w:pPr>
        <w:spacing w:after="0"/>
        <w:ind w:left="360"/>
      </w:pPr>
      <w:r>
        <w:t>According to BDC, an enterprise zone remains for 10 years where the benefits scale with time and growth levels. Real property tax credits and income tax credits scale differently.</w:t>
      </w:r>
    </w:p>
    <w:p w14:paraId="4B4D5970" w14:textId="77777777" w:rsidR="00106FC7" w:rsidRPr="00106FC7" w:rsidRDefault="00106FC7" w:rsidP="00106FC7">
      <w:pPr>
        <w:pStyle w:val="ListParagraph"/>
        <w:spacing w:before="240" w:after="0"/>
        <w:rPr>
          <w:u w:val="single"/>
        </w:rPr>
      </w:pPr>
      <w:r w:rsidRPr="00106FC7">
        <w:rPr>
          <w:u w:val="single"/>
        </w:rPr>
        <w:t>Real Property Tax Credits</w:t>
      </w:r>
    </w:p>
    <w:p w14:paraId="3141FCDE" w14:textId="77777777" w:rsidR="00106FC7" w:rsidRDefault="00106FC7" w:rsidP="00106FC7">
      <w:pPr>
        <w:pStyle w:val="ListParagraph"/>
        <w:numPr>
          <w:ilvl w:val="0"/>
          <w:numId w:val="7"/>
        </w:numPr>
        <w:spacing w:after="0"/>
      </w:pPr>
      <w:r>
        <w:t>10-year tax credit on incremental increase in property taxes resulting from real property improvements</w:t>
      </w:r>
    </w:p>
    <w:p w14:paraId="1FADD170" w14:textId="77777777" w:rsidR="00106FC7" w:rsidRDefault="00106FC7" w:rsidP="00106FC7">
      <w:pPr>
        <w:pStyle w:val="ListParagraph"/>
        <w:numPr>
          <w:ilvl w:val="0"/>
          <w:numId w:val="7"/>
        </w:numPr>
        <w:spacing w:after="0"/>
      </w:pPr>
      <w:r>
        <w:t>80 percent tax credit years 1-5</w:t>
      </w:r>
    </w:p>
    <w:p w14:paraId="60AA4FAB" w14:textId="77777777" w:rsidR="00106FC7" w:rsidRDefault="00106FC7" w:rsidP="00106FC7">
      <w:pPr>
        <w:pStyle w:val="ListParagraph"/>
        <w:numPr>
          <w:ilvl w:val="0"/>
          <w:numId w:val="7"/>
        </w:numPr>
        <w:spacing w:after="0"/>
      </w:pPr>
      <w:r>
        <w:t>Decreases 10 percent annually years 6-10</w:t>
      </w:r>
    </w:p>
    <w:p w14:paraId="1B8E9E80" w14:textId="1A022DF8" w:rsidR="00106FC7" w:rsidRDefault="00106FC7" w:rsidP="00106FC7">
      <w:pPr>
        <w:pStyle w:val="ListParagraph"/>
        <w:numPr>
          <w:ilvl w:val="0"/>
          <w:numId w:val="7"/>
        </w:numPr>
        <w:spacing w:after="0"/>
      </w:pPr>
      <w:r>
        <w:t>Tax credit goes to the property owner</w:t>
      </w:r>
    </w:p>
    <w:p w14:paraId="77E21183" w14:textId="77777777" w:rsidR="00106FC7" w:rsidRDefault="00106FC7" w:rsidP="00106FC7">
      <w:pPr>
        <w:spacing w:before="240" w:after="0"/>
        <w:ind w:firstLine="720"/>
        <w:rPr>
          <w:u w:val="single"/>
        </w:rPr>
      </w:pPr>
      <w:r w:rsidRPr="00106FC7">
        <w:rPr>
          <w:u w:val="single"/>
        </w:rPr>
        <w:t>Income Tax Credits</w:t>
      </w:r>
    </w:p>
    <w:p w14:paraId="6063E225" w14:textId="77777777" w:rsidR="00106FC7" w:rsidRPr="00106FC7" w:rsidRDefault="00106FC7" w:rsidP="00106FC7">
      <w:pPr>
        <w:pStyle w:val="ListParagraph"/>
        <w:numPr>
          <w:ilvl w:val="0"/>
          <w:numId w:val="7"/>
        </w:numPr>
        <w:rPr>
          <w:u w:val="single"/>
        </w:rPr>
      </w:pPr>
      <w:r>
        <w:t>$1,000 tax credit per new employee</w:t>
      </w:r>
    </w:p>
    <w:p w14:paraId="65D19373" w14:textId="77777777" w:rsidR="00106FC7" w:rsidRPr="00106FC7" w:rsidRDefault="00106FC7" w:rsidP="00106FC7">
      <w:pPr>
        <w:pStyle w:val="ListParagraph"/>
        <w:numPr>
          <w:ilvl w:val="0"/>
          <w:numId w:val="7"/>
        </w:numPr>
        <w:rPr>
          <w:u w:val="single"/>
        </w:rPr>
      </w:pPr>
      <w:r>
        <w:t>$6,000 tax credit over 3 years for hiring economically disadvantaged employee</w:t>
      </w:r>
    </w:p>
    <w:p w14:paraId="62A0106B" w14:textId="77777777" w:rsidR="00106FC7" w:rsidRPr="00106FC7" w:rsidRDefault="00106FC7" w:rsidP="00106FC7">
      <w:pPr>
        <w:pStyle w:val="ListParagraph"/>
        <w:numPr>
          <w:ilvl w:val="0"/>
          <w:numId w:val="7"/>
        </w:numPr>
        <w:rPr>
          <w:u w:val="single"/>
        </w:rPr>
      </w:pPr>
      <w:r>
        <w:t>Credit may be carried forward for 5 years</w:t>
      </w:r>
    </w:p>
    <w:p w14:paraId="11DC3A18" w14:textId="4D3E1B09" w:rsidR="00106FC7" w:rsidRPr="00106FC7" w:rsidRDefault="00106FC7" w:rsidP="005B790A">
      <w:pPr>
        <w:pStyle w:val="ListParagraph"/>
        <w:numPr>
          <w:ilvl w:val="0"/>
          <w:numId w:val="7"/>
        </w:numPr>
        <w:spacing w:after="0"/>
        <w:rPr>
          <w:u w:val="single"/>
        </w:rPr>
      </w:pPr>
      <w:r>
        <w:t>Credit may be claimed by any firm located within Enterprise Zone eligible property that adds new employment meeting certain requirements</w:t>
      </w:r>
    </w:p>
    <w:p w14:paraId="3C5C1A07" w14:textId="77777777" w:rsidR="005B790A" w:rsidRPr="005B790A" w:rsidRDefault="005B790A" w:rsidP="00026C4D">
      <w:pPr>
        <w:ind w:left="360"/>
        <w:rPr>
          <w:u w:val="single"/>
        </w:rPr>
      </w:pPr>
      <w:r w:rsidRPr="005B790A">
        <w:rPr>
          <w:u w:val="single"/>
        </w:rPr>
        <w:lastRenderedPageBreak/>
        <w:t>EZ regions act as the “treatment” group.</w:t>
      </w:r>
    </w:p>
    <w:p w14:paraId="66C18D24" w14:textId="1B1F5F4D" w:rsidR="00026C4D" w:rsidRDefault="005B790A" w:rsidP="00026C4D">
      <w:pPr>
        <w:ind w:left="360"/>
      </w:pPr>
      <w:r w:rsidRPr="006C6F94">
        <w:rPr>
          <w:i/>
          <w:iCs/>
        </w:rPr>
        <w:t>Interestingly, t</w:t>
      </w:r>
      <w:r w:rsidR="00106FC7" w:rsidRPr="006C6F94">
        <w:rPr>
          <w:i/>
          <w:iCs/>
        </w:rPr>
        <w:t>he credits apply two different incentive approaches, one driven by relief another driven but incentive. Include economic analysis</w:t>
      </w:r>
      <w:r w:rsidRPr="006C6F94">
        <w:rPr>
          <w:i/>
          <w:iCs/>
        </w:rPr>
        <w:t>:</w:t>
      </w:r>
      <w:r w:rsidR="00106FC7" w:rsidRPr="006C6F94">
        <w:rPr>
          <w:i/>
          <w:iCs/>
        </w:rPr>
        <w:t xml:space="preserve"> on</w:t>
      </w:r>
      <w:r w:rsidRPr="006C6F94">
        <w:rPr>
          <w:i/>
          <w:iCs/>
        </w:rPr>
        <w:t xml:space="preserve"> </w:t>
      </w:r>
      <w:proofErr w:type="spellStart"/>
      <w:r w:rsidRPr="006C6F94">
        <w:rPr>
          <w:i/>
          <w:iCs/>
        </w:rPr>
        <w:t>tax+philps</w:t>
      </w:r>
      <w:proofErr w:type="spellEnd"/>
      <w:r w:rsidRPr="006C6F94">
        <w:rPr>
          <w:i/>
          <w:iCs/>
        </w:rPr>
        <w:t>+ should there be an economic review of the greater area/neighborhood, how</w:t>
      </w:r>
      <w:r w:rsidR="00106FC7" w:rsidRPr="006C6F94">
        <w:rPr>
          <w:i/>
          <w:iCs/>
        </w:rPr>
        <w:t xml:space="preserve"> that would slide demand</w:t>
      </w:r>
      <w:r w:rsidR="00106FC7">
        <w:t xml:space="preserve"> (change in MRS (connect to </w:t>
      </w:r>
      <w:proofErr w:type="spellStart"/>
      <w:r w:rsidR="00106FC7">
        <w:t>roback</w:t>
      </w:r>
      <w:proofErr w:type="spellEnd"/>
      <w:r w:rsidR="00106FC7">
        <w:t>, business amenity)</w:t>
      </w:r>
      <w:r w:rsidR="006C6F94">
        <w:t>)</w:t>
      </w:r>
    </w:p>
    <w:p w14:paraId="6EC5D492" w14:textId="0B1A17E0" w:rsidR="00106FC7" w:rsidRDefault="00106FC7" w:rsidP="00026C4D">
      <w:pPr>
        <w:ind w:left="360"/>
      </w:pPr>
      <w:r>
        <w:t xml:space="preserve">In </w:t>
      </w:r>
      <w:r w:rsidR="005B790A">
        <w:t>addition,</w:t>
      </w:r>
      <w:r>
        <w:t xml:space="preserve"> Baltimore City include EZ Focus Areas. These receive </w:t>
      </w:r>
      <w:r w:rsidR="005B790A">
        <w:t xml:space="preserve">the following </w:t>
      </w:r>
      <w:r w:rsidR="005B790A">
        <w:rPr>
          <w:u w:val="single"/>
        </w:rPr>
        <w:t>additional</w:t>
      </w:r>
      <w:r w:rsidR="005B790A">
        <w:t xml:space="preserve"> benefits:</w:t>
      </w:r>
    </w:p>
    <w:p w14:paraId="3F0700BF" w14:textId="77777777" w:rsidR="005B790A" w:rsidRPr="005B790A" w:rsidRDefault="005B790A" w:rsidP="005B790A">
      <w:pPr>
        <w:spacing w:after="0"/>
        <w:ind w:firstLine="360"/>
        <w:rPr>
          <w:u w:val="single"/>
        </w:rPr>
      </w:pPr>
      <w:r w:rsidRPr="005B790A">
        <w:rPr>
          <w:u w:val="single"/>
        </w:rPr>
        <w:t>Property Tax Credits</w:t>
      </w:r>
    </w:p>
    <w:p w14:paraId="0AB481FF" w14:textId="77777777" w:rsidR="005B790A" w:rsidRPr="005B790A" w:rsidRDefault="005B790A" w:rsidP="005B790A">
      <w:pPr>
        <w:numPr>
          <w:ilvl w:val="0"/>
          <w:numId w:val="10"/>
        </w:numPr>
        <w:spacing w:after="0"/>
      </w:pPr>
      <w:r w:rsidRPr="005B790A">
        <w:t>Real property tax credit of 80 percent on the increased assessed value for 10 years</w:t>
      </w:r>
    </w:p>
    <w:p w14:paraId="49EBC89C" w14:textId="77777777" w:rsidR="005B790A" w:rsidRPr="005B790A" w:rsidRDefault="005B790A" w:rsidP="005B790A">
      <w:pPr>
        <w:numPr>
          <w:ilvl w:val="0"/>
          <w:numId w:val="10"/>
        </w:numPr>
        <w:spacing w:after="0"/>
      </w:pPr>
      <w:r w:rsidRPr="005B790A">
        <w:t xml:space="preserve">Personal property tax credit of 80 percent for 10 years on new investment in personal </w:t>
      </w:r>
      <w:proofErr w:type="spellStart"/>
      <w:r w:rsidRPr="005B790A">
        <w:t>propert</w:t>
      </w:r>
      <w:proofErr w:type="spellEnd"/>
    </w:p>
    <w:p w14:paraId="757BF29E" w14:textId="77777777" w:rsidR="005B790A" w:rsidRPr="005B790A" w:rsidRDefault="005B790A" w:rsidP="005B790A">
      <w:pPr>
        <w:numPr>
          <w:ilvl w:val="0"/>
          <w:numId w:val="10"/>
        </w:numPr>
        <w:spacing w:after="0"/>
      </w:pPr>
      <w:r w:rsidRPr="005B790A">
        <w:t>Credit goes to property owner</w:t>
      </w:r>
    </w:p>
    <w:p w14:paraId="2F179175" w14:textId="7B07BCB7" w:rsidR="005B790A" w:rsidRPr="005B790A" w:rsidRDefault="005B790A" w:rsidP="005B790A">
      <w:pPr>
        <w:spacing w:before="240" w:after="0"/>
        <w:ind w:left="360"/>
        <w:rPr>
          <w:u w:val="single"/>
        </w:rPr>
      </w:pPr>
      <w:r w:rsidRPr="005B790A">
        <w:rPr>
          <w:u w:val="single"/>
        </w:rPr>
        <w:t>Income Tax Credits</w:t>
      </w:r>
    </w:p>
    <w:p w14:paraId="36340B4C" w14:textId="77777777" w:rsidR="005B790A" w:rsidRPr="005B790A" w:rsidRDefault="005B790A" w:rsidP="005B790A">
      <w:pPr>
        <w:numPr>
          <w:ilvl w:val="0"/>
          <w:numId w:val="10"/>
        </w:numPr>
        <w:spacing w:after="0"/>
      </w:pPr>
      <w:r w:rsidRPr="005B790A">
        <w:t>$1,500 tax credit per new employee</w:t>
      </w:r>
    </w:p>
    <w:p w14:paraId="05A23BA1" w14:textId="77777777" w:rsidR="005B790A" w:rsidRPr="005B790A" w:rsidRDefault="005B790A" w:rsidP="005B790A">
      <w:pPr>
        <w:numPr>
          <w:ilvl w:val="0"/>
          <w:numId w:val="10"/>
        </w:numPr>
        <w:spacing w:after="0"/>
      </w:pPr>
      <w:r w:rsidRPr="005B790A">
        <w:t>$9,000 tax credit over 3 years for hiring economically disadvantaged employee</w:t>
      </w:r>
    </w:p>
    <w:p w14:paraId="3BD63ADF" w14:textId="77777777" w:rsidR="005B790A" w:rsidRPr="005B790A" w:rsidRDefault="005B790A" w:rsidP="005B790A">
      <w:pPr>
        <w:numPr>
          <w:ilvl w:val="0"/>
          <w:numId w:val="10"/>
        </w:numPr>
        <w:spacing w:after="0"/>
      </w:pPr>
      <w:r w:rsidRPr="005B790A">
        <w:t>Credit may be carried forward for 5 years</w:t>
      </w:r>
    </w:p>
    <w:p w14:paraId="249D5D5F" w14:textId="77777777" w:rsidR="005B790A" w:rsidRDefault="005B790A" w:rsidP="005B790A">
      <w:pPr>
        <w:numPr>
          <w:ilvl w:val="0"/>
          <w:numId w:val="10"/>
        </w:numPr>
        <w:spacing w:after="0"/>
      </w:pPr>
      <w:r w:rsidRPr="005B790A">
        <w:t>Credit may be claimed by any firm located within Enterprise Zone eligible property that adds new employment meeting certain requirements</w:t>
      </w:r>
    </w:p>
    <w:p w14:paraId="08794153" w14:textId="190839AD" w:rsidR="005B790A" w:rsidRPr="005B790A" w:rsidRDefault="005B790A" w:rsidP="005B790A">
      <w:pPr>
        <w:spacing w:after="0"/>
        <w:ind w:left="360"/>
        <w:rPr>
          <w:u w:val="single"/>
        </w:rPr>
      </w:pPr>
      <w:r w:rsidRPr="005B790A">
        <w:rPr>
          <w:u w:val="single"/>
        </w:rPr>
        <w:t>EZFA regions act as the “extra treatment” group.</w:t>
      </w:r>
    </w:p>
    <w:p w14:paraId="4CA182C6" w14:textId="77777777" w:rsidR="005B790A" w:rsidRDefault="005B790A" w:rsidP="00026C4D">
      <w:pPr>
        <w:ind w:left="360"/>
      </w:pPr>
    </w:p>
    <w:p w14:paraId="0136F582" w14:textId="136377A1" w:rsidR="005B790A" w:rsidRDefault="005B790A" w:rsidP="00026C4D">
      <w:pPr>
        <w:ind w:left="360"/>
      </w:pPr>
      <w:r>
        <w:t>EZs last for 10 years. There have been 3 iterations of EZ areas (2002, 2012, 2022)</w:t>
      </w:r>
    </w:p>
    <w:p w14:paraId="7423460E" w14:textId="094E0544" w:rsidR="005B790A" w:rsidRDefault="005B790A" w:rsidP="00026C4D">
      <w:pPr>
        <w:ind w:left="360"/>
      </w:pPr>
      <w:r>
        <w:t>We compare the treatment effects EZs have had on the development of Baltimore across these periods.</w:t>
      </w:r>
    </w:p>
    <w:p w14:paraId="0B44D4AD" w14:textId="77777777" w:rsidR="004F301B" w:rsidRDefault="00EF68E3" w:rsidP="004F301B">
      <w:pPr>
        <w:spacing w:after="0"/>
        <w:ind w:left="360"/>
      </w:pPr>
      <w:r>
        <w:t xml:space="preserve">2022 was the last </w:t>
      </w:r>
      <w:r w:rsidR="004F301B">
        <w:t>amendments</w:t>
      </w:r>
      <w:r>
        <w:t xml:space="preserve"> to the enterprise zone designations. </w:t>
      </w:r>
    </w:p>
    <w:p w14:paraId="0C3D94E7" w14:textId="15A237D6" w:rsidR="004F301B" w:rsidRDefault="004F301B" w:rsidP="004F301B">
      <w:pPr>
        <w:pStyle w:val="ListParagraph"/>
        <w:numPr>
          <w:ilvl w:val="0"/>
          <w:numId w:val="12"/>
        </w:numPr>
      </w:pPr>
      <w:r>
        <w:t>removes Harbor East, Harbor Point and the commercial areas in Federal Hill and along</w:t>
      </w:r>
      <w:r>
        <w:t xml:space="preserve"> </w:t>
      </w:r>
      <w:r>
        <w:t>Key Highway</w:t>
      </w:r>
    </w:p>
    <w:p w14:paraId="3AA04F5D" w14:textId="19409BF6" w:rsidR="004F301B" w:rsidRDefault="004F301B" w:rsidP="004F301B">
      <w:pPr>
        <w:pStyle w:val="ListParagraph"/>
        <w:numPr>
          <w:ilvl w:val="0"/>
          <w:numId w:val="12"/>
        </w:numPr>
      </w:pPr>
      <w:r>
        <w:t>Focus</w:t>
      </w:r>
      <w:r>
        <w:t xml:space="preserve"> </w:t>
      </w:r>
      <w:r>
        <w:t>Areas are Jones Falls, Oldtown, Carroll-Camden, Central West, Holabird-Orangeville, an</w:t>
      </w:r>
      <w:r>
        <w:t xml:space="preserve">d </w:t>
      </w:r>
      <w:r>
        <w:t>South Industrial</w:t>
      </w:r>
      <w:r>
        <w:t>. I</w:t>
      </w:r>
      <w:r w:rsidRPr="004F301B">
        <w:t>nclude Pratt Street in the downtown area</w:t>
      </w:r>
    </w:p>
    <w:p w14:paraId="713F13BD" w14:textId="169CA5BE" w:rsidR="006C6F94" w:rsidRDefault="006C6F94" w:rsidP="006C6F94">
      <w:pPr>
        <w:pStyle w:val="Heading1"/>
        <w:numPr>
          <w:ilvl w:val="0"/>
          <w:numId w:val="5"/>
        </w:numPr>
      </w:pPr>
      <w:r>
        <w:t>Policy Question</w:t>
      </w:r>
    </w:p>
    <w:p w14:paraId="1B25DE3D" w14:textId="34BDC2C0" w:rsidR="006C6F94" w:rsidRDefault="006C6F94" w:rsidP="00437BB2">
      <w:pPr>
        <w:pStyle w:val="Heading3"/>
        <w:ind w:left="360"/>
      </w:pPr>
      <w:r>
        <w:t>Potential questions:</w:t>
      </w:r>
    </w:p>
    <w:p w14:paraId="64981899" w14:textId="77DA613A" w:rsidR="006C6F94" w:rsidRDefault="006C6F94" w:rsidP="006C6F94">
      <w:pPr>
        <w:ind w:left="360"/>
      </w:pPr>
      <w:r w:rsidRPr="006C6F94">
        <w:rPr>
          <w:b/>
          <w:bCs/>
        </w:rPr>
        <w:t>Primary Question:</w:t>
      </w:r>
      <w:r w:rsidRPr="006C6F94">
        <w:t xml:space="preserve"> Did Baltimore City's Enterprise Zone designations generate real property value appreciation in treated neighborhoods, above and beyond the citywide trend?</w:t>
      </w:r>
    </w:p>
    <w:p w14:paraId="0DDCF08F" w14:textId="77777777" w:rsidR="006C6F94" w:rsidRPr="006C6F94" w:rsidRDefault="006C6F94" w:rsidP="006C6F94">
      <w:pPr>
        <w:spacing w:after="0"/>
        <w:ind w:left="360"/>
      </w:pPr>
      <w:r w:rsidRPr="006C6F94">
        <w:rPr>
          <w:b/>
          <w:bCs/>
        </w:rPr>
        <w:t>Sub-questions:</w:t>
      </w:r>
    </w:p>
    <w:p w14:paraId="700554DE" w14:textId="77777777" w:rsidR="006C6F94" w:rsidRPr="006C6F94" w:rsidRDefault="006C6F94" w:rsidP="006C6F94">
      <w:pPr>
        <w:numPr>
          <w:ilvl w:val="0"/>
          <w:numId w:val="11"/>
        </w:numPr>
        <w:spacing w:after="0"/>
      </w:pPr>
      <w:r w:rsidRPr="006C6F94">
        <w:t>Does treatment intensity matter — do Focus Area parcels outperform standard EZ parcels, which outperform never-treated parcels?</w:t>
      </w:r>
    </w:p>
    <w:p w14:paraId="1795CE53" w14:textId="516D10EF" w:rsidR="006C6F94" w:rsidRDefault="006C6F94" w:rsidP="006C6F94">
      <w:pPr>
        <w:numPr>
          <w:ilvl w:val="0"/>
          <w:numId w:val="11"/>
        </w:numPr>
      </w:pPr>
      <w:r w:rsidRPr="006C6F94">
        <w:t>Does de-designation tell the same story in reverse — did areas removed in 2022 (Harbor Point, Federal Hill) show stronger appreciation trajectories during their treatment period, consistent with the policy working as intended?</w:t>
      </w:r>
      <w:r>
        <w:t xml:space="preserve"> (</w:t>
      </w:r>
      <w:r w:rsidRPr="006C6F94">
        <w:rPr>
          <w:i/>
          <w:iCs/>
        </w:rPr>
        <w:t>could connect to beginning of class with agglomeration effects?</w:t>
      </w:r>
      <w:r>
        <w:t>)</w:t>
      </w:r>
    </w:p>
    <w:p w14:paraId="62161975" w14:textId="240F2F15" w:rsidR="006C6F94" w:rsidRDefault="006C6F94" w:rsidP="006C6F94">
      <w:pPr>
        <w:numPr>
          <w:ilvl w:val="1"/>
          <w:numId w:val="11"/>
        </w:numPr>
      </w:pPr>
      <w:r>
        <w:rPr>
          <w:b/>
          <w:bCs/>
        </w:rPr>
        <w:t>S</w:t>
      </w:r>
      <w:r w:rsidRPr="006C6F94">
        <w:rPr>
          <w:b/>
          <w:bCs/>
        </w:rPr>
        <w:t>patial analysis angle:</w:t>
      </w:r>
      <w:r>
        <w:t xml:space="preserve"> </w:t>
      </w:r>
      <w:r w:rsidRPr="006C6F94">
        <w:t xml:space="preserve">if EZ designation generates agglomeration effects, you'd expect to see spatial clustering of appreciation </w:t>
      </w:r>
      <w:r w:rsidRPr="006C6F94">
        <w:rPr>
          <w:i/>
          <w:iCs/>
        </w:rPr>
        <w:t>within and around</w:t>
      </w:r>
      <w:r w:rsidRPr="006C6F94">
        <w:t xml:space="preserve"> EZ boundaries, not just higher average </w:t>
      </w:r>
      <w:r w:rsidRPr="006C6F94">
        <w:lastRenderedPageBreak/>
        <w:t>values inside them. Moran's I could test whether appreciation is spatially concentrated in ways that align with EZ geography. That's a more nuanced story than just "EZ parcels went up."</w:t>
      </w:r>
    </w:p>
    <w:p w14:paraId="3FCB1F4F" w14:textId="66DC6E85" w:rsidR="006C6F94" w:rsidRPr="006C6F94" w:rsidRDefault="006C6F94" w:rsidP="006C6F94">
      <w:pPr>
        <w:numPr>
          <w:ilvl w:val="1"/>
          <w:numId w:val="11"/>
        </w:numPr>
      </w:pPr>
      <w:r>
        <w:rPr>
          <w:b/>
          <w:bCs/>
        </w:rPr>
        <w:t>H</w:t>
      </w:r>
      <w:r w:rsidRPr="006C6F94">
        <w:rPr>
          <w:b/>
          <w:bCs/>
        </w:rPr>
        <w:t>otspot angle</w:t>
      </w:r>
      <w:r>
        <w:rPr>
          <w:b/>
          <w:bCs/>
        </w:rPr>
        <w:t>:</w:t>
      </w:r>
      <w:r w:rsidRPr="006C6F94">
        <w:rPr>
          <w:b/>
          <w:bCs/>
        </w:rPr>
        <w:t xml:space="preserve"> </w:t>
      </w:r>
      <w:r w:rsidRPr="006C6F94">
        <w:t xml:space="preserve">If Harbor Point and Federal Hill were hotspots of appreciation </w:t>
      </w:r>
      <w:r w:rsidRPr="006C6F94">
        <w:rPr>
          <w:i/>
          <w:iCs/>
        </w:rPr>
        <w:t>during</w:t>
      </w:r>
      <w:r w:rsidRPr="006C6F94">
        <w:t xml:space="preserve"> their treatment window, and that clustering dissipates or shifts post-de-designation, that's a spatial narrative that's hard to explain away as pure coincidence.</w:t>
      </w:r>
    </w:p>
    <w:p w14:paraId="37E20755" w14:textId="1150E850" w:rsidR="006C6F94" w:rsidRDefault="00437BB2" w:rsidP="00437BB2">
      <w:pPr>
        <w:pStyle w:val="Heading1"/>
        <w:numPr>
          <w:ilvl w:val="0"/>
          <w:numId w:val="11"/>
        </w:numPr>
        <w:tabs>
          <w:tab w:val="clear" w:pos="720"/>
        </w:tabs>
        <w:ind w:left="360"/>
      </w:pPr>
      <w:r>
        <w:t>Relevant Urban Economic Models</w:t>
      </w:r>
    </w:p>
    <w:p w14:paraId="6FF66FBC" w14:textId="77777777" w:rsidR="004A55A8" w:rsidRPr="004A55A8" w:rsidRDefault="004A55A8" w:rsidP="004A55A8">
      <w:pPr>
        <w:ind w:left="360"/>
        <w:rPr>
          <w:b/>
          <w:bCs/>
        </w:rPr>
      </w:pPr>
      <w:r w:rsidRPr="004A55A8">
        <w:rPr>
          <w:b/>
          <w:bCs/>
        </w:rPr>
        <w:t>Rosen-Roback Spatial Equilibrium</w:t>
      </w:r>
    </w:p>
    <w:p w14:paraId="5C2974EF" w14:textId="77777777" w:rsidR="004A55A8" w:rsidRDefault="004A55A8" w:rsidP="004A55A8">
      <w:pPr>
        <w:ind w:left="360"/>
      </w:pPr>
      <w:r>
        <w:t>The Rosen-Roback model predicts that in spatial equilibrium, differences in wages and land prices across locations reflect differences in the amenity bundle each location offers workers and firms. Enterprise Zone designation directly intervenes in the firm-side of this equilibrium. By reducing effective tax costs through property and income tax credits, EZ status lowers the cost of doing business within the designated geography. In Rosen-Roback terms, this is a positive shift in the business amenity environment of the neighborhood. If firms respond to this cost advantage by relocating or expanding within the zone, increased demand for commercial space should capitalize into property values. This gives us our core theoretical prediction: EZ-designated parcels should appreciate relative to non-designated parcels, holding other factors constant, because designation improves the location's position in the spatial equilibrium.</w:t>
      </w:r>
    </w:p>
    <w:p w14:paraId="3D77D58F" w14:textId="77777777" w:rsidR="004A55A8" w:rsidRPr="004A55A8" w:rsidRDefault="004A55A8" w:rsidP="004A55A8">
      <w:pPr>
        <w:ind w:left="360"/>
        <w:rPr>
          <w:b/>
          <w:bCs/>
        </w:rPr>
      </w:pPr>
      <w:r w:rsidRPr="004A55A8">
        <w:rPr>
          <w:b/>
          <w:bCs/>
        </w:rPr>
        <w:t>Place-Based Economic Development Policies</w:t>
      </w:r>
    </w:p>
    <w:p w14:paraId="39489588" w14:textId="77777777" w:rsidR="004A55A8" w:rsidRDefault="004A55A8" w:rsidP="004A55A8">
      <w:pPr>
        <w:ind w:left="360"/>
      </w:pPr>
      <w:r>
        <w:t>Enterprise Zones are a canonical example of place-based policy, interventions that target specific geographies rather than specific people or firms. The theoretical justification is that spatially concentrated distress creates coordination failures that market forces alone will not resolve. Tax incentives lower the threshold for firms to enter, potentially triggering a self-reinforcing cycle of investment. The empirical literature here is mixed. Busso, Gregory and Kline (2013) find positive employment effects from federal Empowerment Zones, while Neumark and Kolko (2010) are skeptical of California EZs, arguing firms relocate rather than generate genuinely new activity. Baltimore's three-wave designation history gives us a natural way to engage this debate. If the policy is working, we would expect treated areas to outperform untreated areas, and treatment intensity (Focus Area vs. standard EZ) to produce a gradient in outcomes.</w:t>
      </w:r>
    </w:p>
    <w:p w14:paraId="309D604B" w14:textId="77777777" w:rsidR="004A55A8" w:rsidRPr="004A55A8" w:rsidRDefault="004A55A8" w:rsidP="004A55A8">
      <w:pPr>
        <w:ind w:left="360"/>
        <w:rPr>
          <w:b/>
          <w:bCs/>
        </w:rPr>
      </w:pPr>
      <w:r w:rsidRPr="004A55A8">
        <w:rPr>
          <w:b/>
          <w:bCs/>
        </w:rPr>
        <w:t>Agglomeration Economies</w:t>
      </w:r>
    </w:p>
    <w:p w14:paraId="2083E794" w14:textId="77777777" w:rsidR="004A55A8" w:rsidRDefault="004A55A8" w:rsidP="004A55A8">
      <w:pPr>
        <w:ind w:left="360"/>
      </w:pPr>
      <w:r>
        <w:t>Agglomeration theory predicts that firm clustering generates positive externalities, including thicker labor markets, knowledge spillovers, and shared infrastructure, that make each additional firm's location decision more attractive as more firms cluster nearby. This is particularly relevant for interpreting the 2022 de-designations. Harbor Point, Harbor East, and the Federal Hill/Key Highway corridor were removed from the EZ precisely because they had grown substantially during the 2012-2022 treatment window. One interpretation is that initial EZ designation attracted firm clustering, agglomeration externalities took over, and the areas became self-sustaining, no longer requiring the subsidy. If agglomeration is the operative mechanism, we would expect appreciation in those areas to be spatially concentrated and accelerating before 2022, not merely correlated with EZ status broadly. Moran's I and hotspot analysis during the 2012-2022 window can speak directly to this prediction.</w:t>
      </w:r>
    </w:p>
    <w:p w14:paraId="7F57D36E" w14:textId="77777777" w:rsidR="004A55A8" w:rsidRPr="004A55A8" w:rsidRDefault="004A55A8" w:rsidP="004A55A8">
      <w:pPr>
        <w:ind w:left="360"/>
        <w:rPr>
          <w:b/>
          <w:bCs/>
        </w:rPr>
      </w:pPr>
      <w:r w:rsidRPr="004A55A8">
        <w:rPr>
          <w:b/>
          <w:bCs/>
        </w:rPr>
        <w:lastRenderedPageBreak/>
        <w:t>Neighborhood Sorting and Residential Choice</w:t>
      </w:r>
    </w:p>
    <w:p w14:paraId="0AE1CA44" w14:textId="67572BC7" w:rsidR="004A55A8" w:rsidRDefault="004A55A8" w:rsidP="004A55A8">
      <w:pPr>
        <w:ind w:left="360"/>
      </w:pPr>
      <w:r>
        <w:t>As a secondary consideration, rising property values in EZ areas raise a distributional question. Do the benefits of designation accrue to existing residents and businesses, or primarily to incoming capital? Neighborhood sorting models predict that as a location's amenity bundle improves, higher-income households and firms outbid incumbents for space, potentially displacing the economically disadvantaged workers the income tax credits are designed to benefit. This tension is worth flagging. The EZ program simultaneously subsidizes firms for hiring disadvantaged workers while potentially generating appreciation that prices those same workers out of the neighborhood. This paper does not resolve that tension empirically but raises it as a structural limitation of place-based tax incentive design.</w:t>
      </w:r>
    </w:p>
    <w:p w14:paraId="5FE8F385" w14:textId="77777777" w:rsidR="004A55A8" w:rsidRPr="004A55A8" w:rsidRDefault="004A55A8" w:rsidP="004A55A8">
      <w:pPr>
        <w:ind w:left="360"/>
      </w:pPr>
      <w:r w:rsidRPr="004A55A8">
        <w:rPr>
          <w:b/>
          <w:bCs/>
        </w:rPr>
        <w:t>Busso, M., Gregory, J., &amp; Kline, P. (2013).</w:t>
      </w:r>
      <w:r w:rsidRPr="004A55A8">
        <w:t xml:space="preserve"> Assessing the incidence and efficiency of a prominent </w:t>
      </w:r>
      <w:proofErr w:type="gramStart"/>
      <w:r w:rsidRPr="004A55A8">
        <w:t>place based</w:t>
      </w:r>
      <w:proofErr w:type="gramEnd"/>
      <w:r w:rsidRPr="004A55A8">
        <w:t xml:space="preserve"> policy. </w:t>
      </w:r>
      <w:r w:rsidRPr="004A55A8">
        <w:rPr>
          <w:i/>
          <w:iCs/>
        </w:rPr>
        <w:t>American Economic Review, 103</w:t>
      </w:r>
      <w:r w:rsidRPr="004A55A8">
        <w:t xml:space="preserve">(2), 897-947. </w:t>
      </w:r>
      <w:hyperlink r:id="rId5" w:history="1">
        <w:r w:rsidRPr="004A55A8">
          <w:rPr>
            <w:rStyle w:val="Hyperlink"/>
          </w:rPr>
          <w:t>https://doi.org/10.1257/aer.103.2.897</w:t>
        </w:r>
      </w:hyperlink>
    </w:p>
    <w:p w14:paraId="06D31F7E" w14:textId="77777777" w:rsidR="004A55A8" w:rsidRPr="004A55A8" w:rsidRDefault="004A55A8" w:rsidP="004A55A8">
      <w:pPr>
        <w:ind w:left="360"/>
      </w:pPr>
      <w:r w:rsidRPr="004A55A8">
        <w:rPr>
          <w:b/>
          <w:bCs/>
        </w:rPr>
        <w:t>Neumark, D., &amp; Kolko, J. (2010).</w:t>
      </w:r>
      <w:r w:rsidRPr="004A55A8">
        <w:t xml:space="preserve"> Do enterprise zones create jobs? Evidence from California's enterprise zone program. </w:t>
      </w:r>
      <w:r w:rsidRPr="004A55A8">
        <w:rPr>
          <w:i/>
          <w:iCs/>
        </w:rPr>
        <w:t>Journal of Urban Economics, 68</w:t>
      </w:r>
      <w:r w:rsidRPr="004A55A8">
        <w:t xml:space="preserve">(1), 1-19. </w:t>
      </w:r>
      <w:hyperlink r:id="rId6" w:history="1">
        <w:r w:rsidRPr="004A55A8">
          <w:rPr>
            <w:rStyle w:val="Hyperlink"/>
          </w:rPr>
          <w:t>https://doi.org/10.1016/j.jue.2010.01.002</w:t>
        </w:r>
      </w:hyperlink>
    </w:p>
    <w:p w14:paraId="66327C04" w14:textId="77777777" w:rsidR="004A55A8" w:rsidRDefault="004A55A8" w:rsidP="004A55A8">
      <w:pPr>
        <w:ind w:left="360"/>
      </w:pPr>
    </w:p>
    <w:p w14:paraId="7C22DCA6" w14:textId="05C25273" w:rsidR="004F301B" w:rsidRPr="004F301B" w:rsidRDefault="004F301B" w:rsidP="004F301B">
      <w:pPr>
        <w:pStyle w:val="Heading1"/>
        <w:numPr>
          <w:ilvl w:val="0"/>
          <w:numId w:val="11"/>
        </w:numPr>
        <w:tabs>
          <w:tab w:val="clear" w:pos="720"/>
        </w:tabs>
        <w:ind w:left="360"/>
      </w:pPr>
      <w:r>
        <w:t>Potential Data Sources</w:t>
      </w:r>
    </w:p>
    <w:p w14:paraId="05A49A70" w14:textId="1158C308" w:rsidR="004F301B" w:rsidRDefault="004F301B" w:rsidP="004F301B">
      <w:r>
        <w:t xml:space="preserve">2002-2012 — this is your murkiest window because of the boundary documentation gap. You know zones existed but don't have clean shapefiles yet. </w:t>
      </w:r>
      <w:r>
        <w:t>However,</w:t>
      </w:r>
      <w:r>
        <w:t xml:space="preserve"> your parcel panel covers this entire period, so if you can recover even a neighborhood-level list of what was designated in 2002, you can approximate treatment status. The analytical story here is baseline — what were pre-treatment conditions and did early designation areas show any trajectory divergence by 2012?</w:t>
      </w:r>
    </w:p>
    <w:p w14:paraId="16C565D9" w14:textId="77777777" w:rsidR="004F301B" w:rsidRDefault="004F301B" w:rsidP="004F301B">
      <w:r>
        <w:t>2012-2022 — this is your cleanest and richest window. You have boundary data, you have the full panel, and you have the 2022 changes as a natural endpoint. This is where the main analysis lives. The removals (Harbor Point, Federal Hill, Key Highway corridor) and additions (Belair Road, Greenmount, York Road etc.) both happened at the end of this window, giving you the de-designation and expansion stories.</w:t>
      </w:r>
    </w:p>
    <w:p w14:paraId="15D91D5D" w14:textId="2DE10149" w:rsidR="004F301B" w:rsidRDefault="004F301B" w:rsidP="004F301B">
      <w:r>
        <w:t>2022-2024 — this is the most interesting open question. You only have two years post-redesignation, which is very short. EZ property tax credits run 10 years, so 2022 newly added areas have barely started their treatment cycle. But it's worth asking — is there any signal in 2023-2024 data for newly added areas? Early appreciation? And for de-designated areas, any plateau or softening?</w:t>
      </w:r>
    </w:p>
    <w:p w14:paraId="26D50DDA" w14:textId="6E5389C4" w:rsidR="005B790A" w:rsidRPr="005B790A" w:rsidRDefault="005B790A" w:rsidP="005B790A">
      <w:pPr>
        <w:pStyle w:val="Heading1"/>
      </w:pPr>
      <w:r>
        <w:t>References</w:t>
      </w:r>
    </w:p>
    <w:p w14:paraId="71060B23" w14:textId="332D64B9" w:rsidR="00026C4D" w:rsidRDefault="00026C4D" w:rsidP="00026C4D">
      <w:pPr>
        <w:ind w:left="360"/>
      </w:pPr>
      <w:r w:rsidRPr="00026C4D">
        <w:t xml:space="preserve">Baltimore Development Corporation. (n.d.). </w:t>
      </w:r>
      <w:r w:rsidRPr="00026C4D">
        <w:rPr>
          <w:i/>
          <w:iCs/>
        </w:rPr>
        <w:t>Enterprise zone and focus area</w:t>
      </w:r>
      <w:r w:rsidRPr="00026C4D">
        <w:t xml:space="preserve">. </w:t>
      </w:r>
      <w:hyperlink r:id="rId7" w:history="1">
        <w:r w:rsidRPr="00026C4D">
          <w:rPr>
            <w:rStyle w:val="Hyperlink"/>
          </w:rPr>
          <w:t>https://www.baltimoredevelopment.com/doing-business/enterprise-zone-and-focus-area</w:t>
        </w:r>
      </w:hyperlink>
    </w:p>
    <w:p w14:paraId="482FC996" w14:textId="26B27395" w:rsidR="005B790A" w:rsidRDefault="005B790A" w:rsidP="00026C4D">
      <w:pPr>
        <w:ind w:left="360"/>
      </w:pPr>
      <w:r w:rsidRPr="005B790A">
        <w:t xml:space="preserve">Maryland Department of Commerce. (2022, July 7). </w:t>
      </w:r>
      <w:r w:rsidRPr="005B790A">
        <w:rPr>
          <w:i/>
          <w:iCs/>
        </w:rPr>
        <w:t>Maryland Commerce approves redesignation of Baltimore City Enterprise Zone, expansion of Cecil County zone</w:t>
      </w:r>
      <w:r w:rsidRPr="005B790A">
        <w:t xml:space="preserve">. </w:t>
      </w:r>
      <w:hyperlink r:id="rId8" w:history="1">
        <w:r w:rsidRPr="005B790A">
          <w:rPr>
            <w:rStyle w:val="Hyperlink"/>
          </w:rPr>
          <w:t>https://commerce.maryland.gov/media/maryland-commerce-approves-redesignation-of-baltimore-city-enterprise-zone-expansion-of-cecil-county-zone</w:t>
        </w:r>
      </w:hyperlink>
    </w:p>
    <w:p w14:paraId="00BDAD1C" w14:textId="77777777" w:rsidR="00EF68E3" w:rsidRDefault="00EF68E3" w:rsidP="00026C4D">
      <w:pPr>
        <w:ind w:left="360"/>
      </w:pPr>
    </w:p>
    <w:p w14:paraId="239C1017" w14:textId="77777777" w:rsidR="00EF68E3" w:rsidRDefault="00EF68E3" w:rsidP="00026C4D">
      <w:pPr>
        <w:pBdr>
          <w:bottom w:val="single" w:sz="6" w:space="1" w:color="auto"/>
        </w:pBdr>
        <w:ind w:left="360"/>
      </w:pPr>
    </w:p>
    <w:p w14:paraId="51E9C042" w14:textId="534C4694" w:rsidR="00EF68E3" w:rsidRDefault="00EF68E3" w:rsidP="00026C4D">
      <w:pPr>
        <w:ind w:left="360"/>
      </w:pPr>
      <w:r>
        <w:t>Not specifically used yet</w:t>
      </w:r>
    </w:p>
    <w:p w14:paraId="4FE7F22D" w14:textId="59DBD56E" w:rsidR="00EF68E3" w:rsidRDefault="00EF68E3" w:rsidP="00026C4D">
      <w:pPr>
        <w:ind w:left="360"/>
      </w:pPr>
      <w:hyperlink r:id="rId9" w:history="1">
        <w:r w:rsidRPr="00715F1D">
          <w:rPr>
            <w:rStyle w:val="Hyperlink"/>
          </w:rPr>
          <w:t>https://www.medamd.com/news/maryland-commerce-designates-redesignates-expands-three-enterprise-zones/</w:t>
        </w:r>
      </w:hyperlink>
      <w:r>
        <w:t xml:space="preserve"> </w:t>
      </w:r>
    </w:p>
    <w:sectPr w:rsidR="00EF68E3" w:rsidSect="00026C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F79"/>
    <w:multiLevelType w:val="hybridMultilevel"/>
    <w:tmpl w:val="96745E78"/>
    <w:lvl w:ilvl="0" w:tplc="8982BC90">
      <w:start w:val="1"/>
      <w:numFmt w:val="decimal"/>
      <w:lvlText w:val="%1."/>
      <w:lvlJc w:val="left"/>
      <w:pPr>
        <w:ind w:left="720" w:hanging="360"/>
      </w:pPr>
      <w:rPr>
        <w:color w:val="4472C4" w:themeColor="accen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F306A"/>
    <w:multiLevelType w:val="hybridMultilevel"/>
    <w:tmpl w:val="171286A2"/>
    <w:lvl w:ilvl="0" w:tplc="2CEA5EE0">
      <w:start w:val="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E3239"/>
    <w:multiLevelType w:val="hybridMultilevel"/>
    <w:tmpl w:val="DDCC73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6E2223"/>
    <w:multiLevelType w:val="hybridMultilevel"/>
    <w:tmpl w:val="987A18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1B53CBE"/>
    <w:multiLevelType w:val="hybridMultilevel"/>
    <w:tmpl w:val="EB5CE11A"/>
    <w:lvl w:ilvl="0" w:tplc="2CEA5EE0">
      <w:start w:val="8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B064D4"/>
    <w:multiLevelType w:val="hybridMultilevel"/>
    <w:tmpl w:val="2BCA55D6"/>
    <w:lvl w:ilvl="0" w:tplc="2CEA5EE0">
      <w:start w:val="8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381DDB"/>
    <w:multiLevelType w:val="multilevel"/>
    <w:tmpl w:val="F2D67F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A7866"/>
    <w:multiLevelType w:val="multilevel"/>
    <w:tmpl w:val="590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2569F"/>
    <w:multiLevelType w:val="hybridMultilevel"/>
    <w:tmpl w:val="94AC2098"/>
    <w:lvl w:ilvl="0" w:tplc="66E60C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743C4D"/>
    <w:multiLevelType w:val="hybridMultilevel"/>
    <w:tmpl w:val="063448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58E26B3"/>
    <w:multiLevelType w:val="hybridMultilevel"/>
    <w:tmpl w:val="174874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D59219B"/>
    <w:multiLevelType w:val="multilevel"/>
    <w:tmpl w:val="C884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0007">
    <w:abstractNumId w:val="0"/>
  </w:num>
  <w:num w:numId="2" w16cid:durableId="1968583986">
    <w:abstractNumId w:val="10"/>
  </w:num>
  <w:num w:numId="3" w16cid:durableId="531768422">
    <w:abstractNumId w:val="2"/>
  </w:num>
  <w:num w:numId="4" w16cid:durableId="1814175345">
    <w:abstractNumId w:val="3"/>
  </w:num>
  <w:num w:numId="5" w16cid:durableId="1986886073">
    <w:abstractNumId w:val="9"/>
  </w:num>
  <w:num w:numId="6" w16cid:durableId="1374424605">
    <w:abstractNumId w:val="8"/>
  </w:num>
  <w:num w:numId="7" w16cid:durableId="1555922896">
    <w:abstractNumId w:val="5"/>
  </w:num>
  <w:num w:numId="8" w16cid:durableId="1861580409">
    <w:abstractNumId w:val="11"/>
  </w:num>
  <w:num w:numId="9" w16cid:durableId="605230148">
    <w:abstractNumId w:val="7"/>
  </w:num>
  <w:num w:numId="10" w16cid:durableId="1328749752">
    <w:abstractNumId w:val="1"/>
  </w:num>
  <w:num w:numId="11" w16cid:durableId="1538010206">
    <w:abstractNumId w:val="6"/>
  </w:num>
  <w:num w:numId="12" w16cid:durableId="422452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C4D"/>
    <w:rsid w:val="00026C4D"/>
    <w:rsid w:val="0005107E"/>
    <w:rsid w:val="00106FC7"/>
    <w:rsid w:val="002708DE"/>
    <w:rsid w:val="00437BB2"/>
    <w:rsid w:val="004A55A8"/>
    <w:rsid w:val="004F301B"/>
    <w:rsid w:val="005B790A"/>
    <w:rsid w:val="006C6F94"/>
    <w:rsid w:val="008E4EE3"/>
    <w:rsid w:val="00E46CB7"/>
    <w:rsid w:val="00EF68E3"/>
    <w:rsid w:val="00FA5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0513"/>
  <w15:chartTrackingRefBased/>
  <w15:docId w15:val="{880A9F6E-286E-4BBA-8497-FDB7BBAA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C4D"/>
  </w:style>
  <w:style w:type="paragraph" w:styleId="Heading1">
    <w:name w:val="heading 1"/>
    <w:basedOn w:val="Normal"/>
    <w:next w:val="Normal"/>
    <w:link w:val="Heading1Char"/>
    <w:uiPriority w:val="9"/>
    <w:qFormat/>
    <w:rsid w:val="00026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6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6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26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26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6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6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26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26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C4D"/>
    <w:rPr>
      <w:rFonts w:eastAsiaTheme="majorEastAsia" w:cstheme="majorBidi"/>
      <w:color w:val="272727" w:themeColor="text1" w:themeTint="D8"/>
    </w:rPr>
  </w:style>
  <w:style w:type="paragraph" w:styleId="Title">
    <w:name w:val="Title"/>
    <w:basedOn w:val="Normal"/>
    <w:next w:val="Normal"/>
    <w:link w:val="TitleChar"/>
    <w:uiPriority w:val="10"/>
    <w:qFormat/>
    <w:rsid w:val="00026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C4D"/>
    <w:pPr>
      <w:spacing w:before="160"/>
      <w:jc w:val="center"/>
    </w:pPr>
    <w:rPr>
      <w:i/>
      <w:iCs/>
      <w:color w:val="404040" w:themeColor="text1" w:themeTint="BF"/>
    </w:rPr>
  </w:style>
  <w:style w:type="character" w:customStyle="1" w:styleId="QuoteChar">
    <w:name w:val="Quote Char"/>
    <w:basedOn w:val="DefaultParagraphFont"/>
    <w:link w:val="Quote"/>
    <w:uiPriority w:val="29"/>
    <w:rsid w:val="00026C4D"/>
    <w:rPr>
      <w:i/>
      <w:iCs/>
      <w:color w:val="404040" w:themeColor="text1" w:themeTint="BF"/>
    </w:rPr>
  </w:style>
  <w:style w:type="paragraph" w:styleId="ListParagraph">
    <w:name w:val="List Paragraph"/>
    <w:basedOn w:val="Normal"/>
    <w:uiPriority w:val="34"/>
    <w:qFormat/>
    <w:rsid w:val="00026C4D"/>
    <w:pPr>
      <w:ind w:left="720"/>
      <w:contextualSpacing/>
    </w:pPr>
  </w:style>
  <w:style w:type="character" w:styleId="IntenseEmphasis">
    <w:name w:val="Intense Emphasis"/>
    <w:basedOn w:val="DefaultParagraphFont"/>
    <w:uiPriority w:val="21"/>
    <w:qFormat/>
    <w:rsid w:val="00026C4D"/>
    <w:rPr>
      <w:i/>
      <w:iCs/>
      <w:color w:val="2F5496" w:themeColor="accent1" w:themeShade="BF"/>
    </w:rPr>
  </w:style>
  <w:style w:type="paragraph" w:styleId="IntenseQuote">
    <w:name w:val="Intense Quote"/>
    <w:basedOn w:val="Normal"/>
    <w:next w:val="Normal"/>
    <w:link w:val="IntenseQuoteChar"/>
    <w:uiPriority w:val="30"/>
    <w:qFormat/>
    <w:rsid w:val="00026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C4D"/>
    <w:rPr>
      <w:i/>
      <w:iCs/>
      <w:color w:val="2F5496" w:themeColor="accent1" w:themeShade="BF"/>
    </w:rPr>
  </w:style>
  <w:style w:type="character" w:styleId="IntenseReference">
    <w:name w:val="Intense Reference"/>
    <w:basedOn w:val="DefaultParagraphFont"/>
    <w:uiPriority w:val="32"/>
    <w:qFormat/>
    <w:rsid w:val="00026C4D"/>
    <w:rPr>
      <w:b/>
      <w:bCs/>
      <w:smallCaps/>
      <w:color w:val="2F5496" w:themeColor="accent1" w:themeShade="BF"/>
      <w:spacing w:val="5"/>
    </w:rPr>
  </w:style>
  <w:style w:type="character" w:styleId="Hyperlink">
    <w:name w:val="Hyperlink"/>
    <w:basedOn w:val="DefaultParagraphFont"/>
    <w:uiPriority w:val="99"/>
    <w:unhideWhenUsed/>
    <w:rsid w:val="00026C4D"/>
    <w:rPr>
      <w:color w:val="0563C1" w:themeColor="hyperlink"/>
      <w:u w:val="single"/>
    </w:rPr>
  </w:style>
  <w:style w:type="character" w:styleId="UnresolvedMention">
    <w:name w:val="Unresolved Mention"/>
    <w:basedOn w:val="DefaultParagraphFont"/>
    <w:uiPriority w:val="99"/>
    <w:semiHidden/>
    <w:unhideWhenUsed/>
    <w:rsid w:val="00026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erce.maryland.gov/media/maryland-commerce-approves-redesignation-of-baltimore-city-enterprise-zone-expansion-of-cecil-county-zone" TargetMode="External"/><Relationship Id="rId3" Type="http://schemas.openxmlformats.org/officeDocument/2006/relationships/settings" Target="settings.xml"/><Relationship Id="rId7" Type="http://schemas.openxmlformats.org/officeDocument/2006/relationships/hyperlink" Target="https://www.baltimoredevelopment.com/doing-business/enterprise-zone-and-focus-are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ue.2010.01.002" TargetMode="External"/><Relationship Id="rId11" Type="http://schemas.openxmlformats.org/officeDocument/2006/relationships/theme" Target="theme/theme1.xml"/><Relationship Id="rId5" Type="http://schemas.openxmlformats.org/officeDocument/2006/relationships/hyperlink" Target="https://doi.org/10.1257/aer.103.2.89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damd.com/news/maryland-commerce-designates-redesignates-expands-three-enterprise-z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Orsini</dc:creator>
  <cp:keywords/>
  <dc:description/>
  <cp:lastModifiedBy>Nicholas Orsini</cp:lastModifiedBy>
  <cp:revision>4</cp:revision>
  <dcterms:created xsi:type="dcterms:W3CDTF">2026-03-31T01:59:00Z</dcterms:created>
  <dcterms:modified xsi:type="dcterms:W3CDTF">2026-04-02T01:55:00Z</dcterms:modified>
</cp:coreProperties>
</file>