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E2D57" w14:textId="77777777" w:rsidR="00613C42" w:rsidRDefault="00613C42" w:rsidP="007A43ED">
      <w:pPr>
        <w:pStyle w:val="Title"/>
        <w:jc w:val="center"/>
        <w:rPr>
          <w:rFonts w:ascii="Arial" w:hAnsi="Arial" w:cs="Arial"/>
        </w:rPr>
      </w:pPr>
    </w:p>
    <w:p w14:paraId="1B18BE5B" w14:textId="77777777" w:rsidR="00613C42" w:rsidRDefault="00613C42" w:rsidP="007A43ED">
      <w:pPr>
        <w:pStyle w:val="Title"/>
        <w:jc w:val="center"/>
        <w:rPr>
          <w:rFonts w:ascii="Arial" w:hAnsi="Arial" w:cs="Arial"/>
        </w:rPr>
      </w:pPr>
    </w:p>
    <w:p w14:paraId="2DCCF008" w14:textId="77777777" w:rsidR="00613C42" w:rsidRDefault="00613C42" w:rsidP="007A43ED">
      <w:pPr>
        <w:pStyle w:val="Title"/>
        <w:jc w:val="center"/>
        <w:rPr>
          <w:rFonts w:ascii="Arial" w:hAnsi="Arial" w:cs="Arial"/>
        </w:rPr>
      </w:pPr>
    </w:p>
    <w:p w14:paraId="292D2C33" w14:textId="77777777" w:rsidR="00613C42" w:rsidRDefault="00613C42" w:rsidP="00613C42">
      <w:pPr>
        <w:pStyle w:val="Title"/>
        <w:rPr>
          <w:rFonts w:ascii="Arial" w:hAnsi="Arial" w:cs="Arial"/>
        </w:rPr>
      </w:pPr>
    </w:p>
    <w:p w14:paraId="7A7704E2" w14:textId="77777777" w:rsidR="00613C42" w:rsidRDefault="00613C42" w:rsidP="007A43ED">
      <w:pPr>
        <w:pStyle w:val="Title"/>
        <w:jc w:val="center"/>
        <w:rPr>
          <w:rFonts w:ascii="Arial" w:hAnsi="Arial" w:cs="Arial"/>
        </w:rPr>
      </w:pPr>
    </w:p>
    <w:p w14:paraId="7017BBEA" w14:textId="77777777" w:rsidR="00613C42" w:rsidRDefault="00613C42" w:rsidP="007A43ED">
      <w:pPr>
        <w:pStyle w:val="Title"/>
        <w:jc w:val="center"/>
        <w:rPr>
          <w:rFonts w:ascii="Arial" w:hAnsi="Arial" w:cs="Arial"/>
        </w:rPr>
      </w:pPr>
    </w:p>
    <w:p w14:paraId="262A3E56" w14:textId="77777777" w:rsidR="00613C42" w:rsidRDefault="00613C42" w:rsidP="007A43ED">
      <w:pPr>
        <w:pStyle w:val="Title"/>
        <w:jc w:val="center"/>
        <w:rPr>
          <w:rFonts w:ascii="Arial" w:hAnsi="Arial" w:cs="Arial"/>
        </w:rPr>
      </w:pPr>
    </w:p>
    <w:p w14:paraId="58E6904B" w14:textId="5990E190" w:rsidR="00610F4D" w:rsidRDefault="007A43ED" w:rsidP="007A43ED">
      <w:pPr>
        <w:pStyle w:val="Title"/>
        <w:jc w:val="center"/>
        <w:rPr>
          <w:rFonts w:ascii="Arial" w:hAnsi="Arial" w:cs="Arial"/>
        </w:rPr>
      </w:pPr>
      <w:r w:rsidRPr="007A43ED">
        <w:rPr>
          <w:rFonts w:ascii="Arial" w:hAnsi="Arial" w:cs="Arial"/>
        </w:rPr>
        <w:t>Final Paper Proposal</w:t>
      </w:r>
      <w:r>
        <w:rPr>
          <w:rFonts w:ascii="Arial" w:hAnsi="Arial" w:cs="Arial"/>
        </w:rPr>
        <w:t>: An analysis of Baltimore, Maryland’s Enterprise Zone Designations</w:t>
      </w:r>
    </w:p>
    <w:p w14:paraId="4A410D9C" w14:textId="77777777" w:rsidR="00613C42" w:rsidRDefault="00613C42" w:rsidP="00613C42">
      <w:pPr>
        <w:jc w:val="center"/>
      </w:pPr>
    </w:p>
    <w:p w14:paraId="5DE26226" w14:textId="77777777" w:rsidR="00613C42" w:rsidRDefault="00613C42" w:rsidP="00613C42">
      <w:pPr>
        <w:jc w:val="center"/>
      </w:pPr>
    </w:p>
    <w:p w14:paraId="2BB938CB" w14:textId="77777777" w:rsidR="00613C42" w:rsidRDefault="00613C42" w:rsidP="00613C42">
      <w:pPr>
        <w:jc w:val="center"/>
      </w:pPr>
    </w:p>
    <w:p w14:paraId="3C74A7FD" w14:textId="77777777" w:rsidR="00613C42" w:rsidRDefault="00613C42" w:rsidP="00613C42">
      <w:pPr>
        <w:jc w:val="center"/>
      </w:pPr>
    </w:p>
    <w:p w14:paraId="369F3FB7" w14:textId="77777777" w:rsidR="00613C42" w:rsidRDefault="00613C42" w:rsidP="00613C42">
      <w:pPr>
        <w:jc w:val="center"/>
      </w:pPr>
    </w:p>
    <w:p w14:paraId="665F9AD7" w14:textId="77777777" w:rsidR="00613C42" w:rsidRDefault="00613C42" w:rsidP="00613C42">
      <w:pPr>
        <w:jc w:val="center"/>
      </w:pPr>
    </w:p>
    <w:p w14:paraId="0C0830D7" w14:textId="77777777" w:rsidR="00613C42" w:rsidRDefault="00613C42" w:rsidP="00613C42">
      <w:pPr>
        <w:jc w:val="center"/>
      </w:pPr>
    </w:p>
    <w:p w14:paraId="1AC212E6" w14:textId="77777777" w:rsidR="00613C42" w:rsidRDefault="00613C42" w:rsidP="00613C42">
      <w:pPr>
        <w:jc w:val="center"/>
      </w:pPr>
    </w:p>
    <w:p w14:paraId="32CF8A7E" w14:textId="77777777" w:rsidR="00613C42" w:rsidRDefault="00613C42" w:rsidP="00613C42">
      <w:pPr>
        <w:jc w:val="center"/>
      </w:pPr>
    </w:p>
    <w:p w14:paraId="052351B3" w14:textId="225BB22F" w:rsidR="00613C42" w:rsidRDefault="00613C42" w:rsidP="00613C42">
      <w:pPr>
        <w:jc w:val="center"/>
      </w:pPr>
      <w:r>
        <w:t>Nicholas Orsini</w:t>
      </w:r>
    </w:p>
    <w:p w14:paraId="1CF083D6" w14:textId="77777777" w:rsidR="00613C42" w:rsidRDefault="00613C42" w:rsidP="00613C42">
      <w:pPr>
        <w:jc w:val="center"/>
      </w:pPr>
      <w:r w:rsidRPr="00613C42">
        <w:t>AS.440.667.</w:t>
      </w:r>
      <w:proofErr w:type="gramStart"/>
      <w:r w:rsidRPr="00613C42">
        <w:t>80.SP</w:t>
      </w:r>
      <w:proofErr w:type="gramEnd"/>
      <w:r w:rsidRPr="00613C42">
        <w:t>26</w:t>
      </w:r>
      <w:r>
        <w:t xml:space="preserve"> </w:t>
      </w:r>
    </w:p>
    <w:p w14:paraId="3FAA1D0D" w14:textId="73479A1F" w:rsidR="00613C42" w:rsidRPr="00613C42" w:rsidRDefault="00613C42" w:rsidP="00613C42">
      <w:pPr>
        <w:jc w:val="center"/>
      </w:pPr>
      <w:r>
        <w:t>Urban Economics</w:t>
      </w:r>
    </w:p>
    <w:p w14:paraId="57852E9B" w14:textId="60E3B862" w:rsidR="00610F4D" w:rsidRDefault="00610F4D" w:rsidP="00613C42">
      <w:pPr>
        <w:ind w:firstLine="720"/>
      </w:pPr>
      <w:r>
        <w:rPr>
          <w:rFonts w:ascii="Arial" w:hAnsi="Arial" w:cs="Arial"/>
        </w:rPr>
        <w:br w:type="page"/>
      </w:r>
      <w:r w:rsidR="000F6BE3" w:rsidRPr="000F6BE3">
        <w:lastRenderedPageBreak/>
        <w:t xml:space="preserve">Enterprise Zone (EZ) designations are among the most widely utilized place-based economic development tools in the United States, </w:t>
      </w:r>
      <w:r w:rsidR="00E676ED" w:rsidRPr="00E676ED">
        <w:t>offering targeted property and income tax incentives to attract private investment and job creation in disenfranchised geographies</w:t>
      </w:r>
      <w:r w:rsidR="000F6BE3" w:rsidRPr="000F6BE3">
        <w:t xml:space="preserve">. The program was </w:t>
      </w:r>
      <w:r w:rsidR="000F6BE3" w:rsidRPr="001506C8">
        <w:t>established in Maryland in 1982 and has since grown to encompass 3</w:t>
      </w:r>
      <w:r w:rsidR="00414314" w:rsidRPr="001506C8">
        <w:t>2</w:t>
      </w:r>
      <w:r w:rsidR="000F6BE3" w:rsidRPr="001506C8">
        <w:t xml:space="preserve"> enterprise zones </w:t>
      </w:r>
      <w:r w:rsidR="00414314" w:rsidRPr="001506C8">
        <w:t>and 6 focus areas</w:t>
      </w:r>
      <w:r w:rsidR="000F6BE3" w:rsidRPr="001506C8">
        <w:t xml:space="preserve"> statewide (Maryland Department of Commerce, n.d.). </w:t>
      </w:r>
      <w:r w:rsidR="00414314" w:rsidRPr="001506C8">
        <w:t xml:space="preserve">Baltimore City, given its industrial decline, population loss, and concentrated neighborhood disinvestment, represents one of the most significant applications of the program in the state. Baltimore alone receives $27.83 million in property tax credit reimbursements accounting for 45% of total EZ statewide </w:t>
      </w:r>
      <w:r w:rsidR="001506C8" w:rsidRPr="001506C8">
        <w:t xml:space="preserve">reimbursements </w:t>
      </w:r>
      <w:r w:rsidR="00414314" w:rsidRPr="001506C8">
        <w:t xml:space="preserve">in FY 2026 (Maryland Department of Commerce, Office of Finance Programs, 2025). </w:t>
      </w:r>
      <w:r w:rsidR="000F6BE3" w:rsidRPr="000F6BE3">
        <w:t xml:space="preserve">Baltimore City established its </w:t>
      </w:r>
      <w:r w:rsidR="000F6BE3">
        <w:t xml:space="preserve">first </w:t>
      </w:r>
      <w:r w:rsidR="000F6BE3" w:rsidRPr="000F6BE3">
        <w:t>Enterprise Zone in 2002, and following a boundary update in 2012, the zone covered 13,453 acres (Miller &amp; Williams, 2022). In 2022, the Maryland Department of Commerce approved a substantial redesignation, expanding the zone to 16,674 acres and introducing significant boundary changes</w:t>
      </w:r>
      <w:r w:rsidR="000F6BE3">
        <w:t>. A</w:t>
      </w:r>
      <w:r w:rsidR="000F6BE3" w:rsidRPr="000F6BE3">
        <w:t xml:space="preserve">reas that had grown sufficiently were removed while new distressed corridors were </w:t>
      </w:r>
      <w:r w:rsidR="001506C8">
        <w:t xml:space="preserve">added </w:t>
      </w:r>
      <w:r w:rsidR="00E676ED" w:rsidRPr="00E676ED">
        <w:t>(Maryland Department of Commerce, 2022; Maryland Department of Commerce, Office of Finance Programs, 2025)</w:t>
      </w:r>
      <w:r w:rsidR="000F6BE3" w:rsidRPr="000F6BE3">
        <w:t>.</w:t>
      </w:r>
      <w:r w:rsidR="004A38AB">
        <w:t xml:space="preserve"> </w:t>
      </w:r>
      <w:r w:rsidR="00414314">
        <w:t>In addition to conventional EZ designations, the city also administers Focus Area</w:t>
      </w:r>
      <w:r w:rsidR="00E676ED">
        <w:t xml:space="preserve"> (FA)</w:t>
      </w:r>
      <w:r w:rsidR="00414314">
        <w:t xml:space="preserve"> designations</w:t>
      </w:r>
      <w:r w:rsidR="00414314" w:rsidRPr="00414314">
        <w:t>, which receive enhanced property and income tax incentives</w:t>
      </w:r>
      <w:r w:rsidR="00E676ED">
        <w:t xml:space="preserve"> on top of the standard EZ benefits.</w:t>
      </w:r>
      <w:r w:rsidR="00414314">
        <w:t xml:space="preserve"> </w:t>
      </w:r>
      <w:r w:rsidR="004A38AB" w:rsidRPr="00D150FB">
        <w:t xml:space="preserve">Baltimore City </w:t>
      </w:r>
      <w:r w:rsidR="00E676ED" w:rsidRPr="00D150FB">
        <w:t xml:space="preserve">currently has </w:t>
      </w:r>
      <w:r w:rsidR="004A38AB" w:rsidRPr="00D150FB">
        <w:t xml:space="preserve">six designated Focus Areas several of which were established and </w:t>
      </w:r>
      <w:r w:rsidR="00E676ED" w:rsidRPr="00D150FB">
        <w:t>expanded</w:t>
      </w:r>
      <w:r w:rsidR="004A38AB" w:rsidRPr="00D150FB">
        <w:t xml:space="preserve"> across the </w:t>
      </w:r>
      <w:r w:rsidR="004A38AB" w:rsidRPr="001506C8">
        <w:rPr>
          <w:color w:val="C00000"/>
        </w:rPr>
        <w:t xml:space="preserve">2012 </w:t>
      </w:r>
      <w:r w:rsidR="004A38AB" w:rsidRPr="00D150FB">
        <w:t>and 2022 designation cycles (Maryland Department of Commerce, 2018</w:t>
      </w:r>
      <w:r w:rsidR="009D411A" w:rsidRPr="00D150FB">
        <w:t>, 2022</w:t>
      </w:r>
      <w:r w:rsidR="004A38AB" w:rsidRPr="00D150FB">
        <w:t>).</w:t>
      </w:r>
      <w:r w:rsidR="00D150FB" w:rsidRPr="00D150FB">
        <w:t xml:space="preserve"> The effectiveness of enterprise zones, however, remains decidedly mixed (Busso, Gregory &amp; Kline, 2013; Neumark &amp; Kolko, 2010).</w:t>
      </w:r>
    </w:p>
    <w:p w14:paraId="0569389B" w14:textId="10A315E7" w:rsidR="00610F4D" w:rsidRDefault="00610F4D" w:rsidP="00610F4D">
      <w:pPr>
        <w:ind w:firstLine="720"/>
      </w:pPr>
      <w:r w:rsidRPr="00610F4D">
        <w:t>While much attention has been paid to the role that place-based designations play in shaping urban development around the United States, this paper focuses on the efficacy Enterprise Zone Designations have had in Baltimore, Maryland. Specifically, we ask: did Baltimore City's Enterprise Zone designations generate real property value appreciation in treated neighborhoods notably different from the citywide trend? Over the 2002 to 2024 period, there have been three designation waves that create a natural treatment structure for analysis. In addition, the distinction between standard EZ and Focus Area designations introduces an "extra" treatment effect. Boundary shapefiles for earlier designation vintages are not publicly available. While I have reached out to the Maryland Department of Commerce for archival records, I plan to reconstruct historical zones using corridor-level descriptions from designation records approximated at the Neighborhood Statistical Area level. The 2022 boundary shapefiles are available through Open Baltimore and will serve as the reconstruction baseline. In addition to the EZ designations, this analysis draws on parcel-level assessment data from the Maryland State Department of Assessments and Taxation (SDAT), spanning 2002 to 2024, generously provided by Gary Maragos of the Maryland Department of Planning. While the panel is largely continuous, assessment records for 2014, 2016, 2018</w:t>
      </w:r>
      <w:r w:rsidR="00DF1A28">
        <w:t>, and 2019</w:t>
      </w:r>
      <w:r w:rsidRPr="00610F4D">
        <w:t xml:space="preserve"> are </w:t>
      </w:r>
      <w:r w:rsidRPr="00610F4D">
        <w:lastRenderedPageBreak/>
        <w:t>unavailable due to gaps in archival records, a limitation that will be acknowledged in the analysis.</w:t>
      </w:r>
    </w:p>
    <w:p w14:paraId="2FAF99D7" w14:textId="3CE69EC6" w:rsidR="00610F4D" w:rsidRDefault="00DF1A28" w:rsidP="00610F4D">
      <w:pPr>
        <w:ind w:firstLine="720"/>
      </w:pPr>
      <w:r w:rsidRPr="00DF1A28">
        <w:t>To analyze the efficacy of the EZ policy, we draw from several models and methods in urban economics. The Rosen-Roback spatial equilibrium model serves as the theoretical foundation, providing a framework for understanding how policy-induced shifts in the firm-side amenity bundle capitalize into property values. Under this framework, EZ designation lowers the effective cost of operating within the zone, functioning as a positive location amenity for firms, which should capitalize into assessed property values over time. This capitalization is expected to operate through two channels: a direct effect on commercial and industrial parcels responding to the tax incentive, and a spillover effect on residential parcels as neighborhood conditions improve. To test these predictions, the analysis employs OLS regression with EZ designation dummy variables and parcel-level controls, allowing the treatment effect to be decomposed across property types. A difference-in-differences framework exploiting the 2012 and 2022 boundary changes is also considered as a potential extension toward causal identification. Geographically weighted regression further allows for the examination of spatial heterogeneity in treatment effects across Baltimore's diverse neighborhood landscape.</w:t>
      </w:r>
    </w:p>
    <w:p w14:paraId="74158646" w14:textId="294D932C" w:rsidR="00E841AB" w:rsidRDefault="00222554" w:rsidP="00610F4D">
      <w:pPr>
        <w:ind w:firstLine="720"/>
      </w:pPr>
      <w:r w:rsidRPr="00222554">
        <w:t>The distinction between Focus Area and standard EZ designations introduces a "treatment intensity gradient" allowing for a more nuanced examination of the policy's effects.</w:t>
      </w:r>
      <w:r>
        <w:t xml:space="preserve"> </w:t>
      </w:r>
      <w:r w:rsidRPr="00222554">
        <w:t xml:space="preserve">The three tiers of treatment -- never-treated, standard EZ, and Focus Area -- form a natural hierarchy of policy </w:t>
      </w:r>
      <w:r w:rsidR="00E841AB">
        <w:t>impact</w:t>
      </w:r>
      <w:r w:rsidRPr="00222554">
        <w:t>. If the program is working as intended, we would expect appreciation to increase monotonically across these tiers</w:t>
      </w:r>
      <w:r w:rsidR="00E841AB">
        <w:t>.</w:t>
      </w:r>
      <w:r w:rsidRPr="00222554">
        <w:t xml:space="preserve"> Focus Area parcels </w:t>
      </w:r>
      <w:r w:rsidR="00E841AB">
        <w:t xml:space="preserve">should </w:t>
      </w:r>
      <w:r w:rsidRPr="00222554">
        <w:t>outperform standard EZ parcels, which in turn</w:t>
      </w:r>
      <w:r w:rsidR="00E841AB">
        <w:t>,</w:t>
      </w:r>
      <w:r w:rsidRPr="00222554">
        <w:t xml:space="preserve"> outperform never-treated parcels.</w:t>
      </w:r>
      <w:r>
        <w:t xml:space="preserve"> </w:t>
      </w:r>
      <w:r w:rsidRPr="00222554">
        <w:t xml:space="preserve">This hierarchy is </w:t>
      </w:r>
      <w:r w:rsidR="00E841AB">
        <w:t>constructed</w:t>
      </w:r>
      <w:r w:rsidRPr="00222554">
        <w:t xml:space="preserve"> through a series of designation dummy variables across the three</w:t>
      </w:r>
      <w:r w:rsidR="00613C42">
        <w:t xml:space="preserve"> EZ</w:t>
      </w:r>
      <w:r w:rsidRPr="00222554">
        <w:t xml:space="preserve"> waves, allowing treatment status to vary at the parcel level over time.</w:t>
      </w:r>
      <w:r>
        <w:t xml:space="preserve"> This distinction allows us to analyze how the intensity of treatment impacts results</w:t>
      </w:r>
      <w:r w:rsidR="00613C42">
        <w:t>.</w:t>
      </w:r>
      <w:r>
        <w:t xml:space="preserve"> </w:t>
      </w:r>
    </w:p>
    <w:p w14:paraId="077E0243" w14:textId="78689B78" w:rsidR="00DF1A28" w:rsidRDefault="00222554" w:rsidP="00610F4D">
      <w:pPr>
        <w:ind w:firstLine="720"/>
      </w:pPr>
      <w:r w:rsidRPr="00222554">
        <w:t xml:space="preserve">De-designation offers an equally revealing lens. Areas removed from the EZ in 2022, including Harbor Point and portions of </w:t>
      </w:r>
      <w:r w:rsidR="00A30017">
        <w:t>Federal Hill</w:t>
      </w:r>
      <w:r w:rsidRPr="00222554">
        <w:t xml:space="preserve"> and Little Italy, were removed precisely because of their substantial economic growth during the prior designation period. If agglomeration externalities </w:t>
      </w:r>
      <w:r w:rsidRPr="00E841AB">
        <w:rPr>
          <w:color w:val="ED7D31" w:themeColor="accent2"/>
        </w:rPr>
        <w:t xml:space="preserve">had taken hold </w:t>
      </w:r>
      <w:r w:rsidRPr="00222554">
        <w:t xml:space="preserve">during the treatment window, </w:t>
      </w:r>
      <w:r w:rsidR="00E841AB">
        <w:t xml:space="preserve">we </w:t>
      </w:r>
      <w:r w:rsidR="00613C42">
        <w:t>would expect</w:t>
      </w:r>
      <w:r w:rsidR="00E841AB">
        <w:t xml:space="preserve"> </w:t>
      </w:r>
      <w:r w:rsidRPr="00222554">
        <w:t xml:space="preserve">appreciation in these areas </w:t>
      </w:r>
      <w:r w:rsidR="00613C42">
        <w:t>to have accelerated</w:t>
      </w:r>
      <w:r w:rsidRPr="00613C42">
        <w:rPr>
          <w:color w:val="ED7D31" w:themeColor="accent2"/>
        </w:rPr>
        <w:t xml:space="preserve"> </w:t>
      </w:r>
      <w:r w:rsidRPr="00222554">
        <w:t>before de-designation and remained elevated afterward</w:t>
      </w:r>
      <w:r w:rsidR="00613C42">
        <w:t xml:space="preserve">. This would </w:t>
      </w:r>
      <w:r w:rsidRPr="00222554">
        <w:t>sugges</w:t>
      </w:r>
      <w:r w:rsidR="00613C42">
        <w:t>t</w:t>
      </w:r>
      <w:r w:rsidRPr="00222554">
        <w:t xml:space="preserve"> the policy successfully triggered self-sustaining growth rather than growth dependent on </w:t>
      </w:r>
      <w:r w:rsidR="00613C42">
        <w:t xml:space="preserve">a </w:t>
      </w:r>
      <w:r w:rsidRPr="00222554">
        <w:t xml:space="preserve">continued subsidy. Conversely, if appreciation reverts following removal, that </w:t>
      </w:r>
      <w:r w:rsidR="00613C42" w:rsidRPr="00222554">
        <w:t>suggests</w:t>
      </w:r>
      <w:r w:rsidRPr="00222554">
        <w:t xml:space="preserve"> the effects were subsidy-driven rather than structural</w:t>
      </w:r>
      <w:r>
        <w:t>.</w:t>
      </w:r>
      <w:r w:rsidR="00A30017">
        <w:t xml:space="preserve"> </w:t>
      </w:r>
    </w:p>
    <w:p w14:paraId="679AC378" w14:textId="25CF9744" w:rsidR="004A382B" w:rsidRDefault="004A382B" w:rsidP="00610F4D">
      <w:pPr>
        <w:ind w:firstLine="720"/>
      </w:pPr>
      <w:r w:rsidRPr="004A382B">
        <w:t xml:space="preserve">This study measures the impact of Enterprise Zone designations on real property value appreciation across Baltimore's neighborhoods. Using a parcel-level panel spanning 2002 to 2024, treatment effects are captured through a series of treatment intensity and time-variant </w:t>
      </w:r>
      <w:r w:rsidRPr="004A382B">
        <w:lastRenderedPageBreak/>
        <w:t>designation dummy variables, while parcel characteristics and neighborhood-level controls isolate the effect of designation from compositional differences across the citywide landscape.</w:t>
      </w:r>
      <w:r>
        <w:t xml:space="preserve"> </w:t>
      </w:r>
      <w:r w:rsidRPr="004A382B">
        <w:t xml:space="preserve">Together these methods offer a comprehensive examination </w:t>
      </w:r>
      <w:r>
        <w:t>into</w:t>
      </w:r>
      <w:r w:rsidRPr="004A382B">
        <w:t xml:space="preserve"> how place-based tax incentives shape urban development in Baltimore, with implications for the program's next redesignation cycle anticipated around 2032.</w:t>
      </w:r>
    </w:p>
    <w:p w14:paraId="779D6C60" w14:textId="77777777" w:rsidR="004A382B" w:rsidRDefault="004A382B">
      <w:pPr>
        <w:rPr>
          <w:rFonts w:asciiTheme="majorHAnsi" w:eastAsiaTheme="majorEastAsia" w:hAnsiTheme="majorHAnsi" w:cstheme="majorBidi"/>
          <w:color w:val="2F5496" w:themeColor="accent1" w:themeShade="BF"/>
          <w:sz w:val="40"/>
          <w:szCs w:val="40"/>
        </w:rPr>
      </w:pPr>
      <w:r>
        <w:br w:type="page"/>
      </w:r>
    </w:p>
    <w:p w14:paraId="7127500C" w14:textId="27EAD941" w:rsidR="007A43ED" w:rsidRDefault="007A43ED" w:rsidP="007A43ED">
      <w:pPr>
        <w:pStyle w:val="Heading1"/>
      </w:pPr>
      <w:r>
        <w:lastRenderedPageBreak/>
        <w:t>References</w:t>
      </w:r>
    </w:p>
    <w:p w14:paraId="0FC04814" w14:textId="77777777" w:rsidR="005E391B" w:rsidRPr="005E391B" w:rsidRDefault="005E391B" w:rsidP="005E391B">
      <w:r w:rsidRPr="005E391B">
        <w:rPr>
          <w:b/>
          <w:bCs/>
        </w:rPr>
        <w:t>Busso, M., Gregory, J., &amp; Kline, P. (2013).</w:t>
      </w:r>
      <w:r w:rsidRPr="005E391B">
        <w:t xml:space="preserve"> Assessing the incidence and efficiency of a prominent </w:t>
      </w:r>
      <w:proofErr w:type="gramStart"/>
      <w:r w:rsidRPr="005E391B">
        <w:t>place based</w:t>
      </w:r>
      <w:proofErr w:type="gramEnd"/>
      <w:r w:rsidRPr="005E391B">
        <w:t xml:space="preserve"> policy. </w:t>
      </w:r>
      <w:r w:rsidRPr="005E391B">
        <w:rPr>
          <w:i/>
          <w:iCs/>
        </w:rPr>
        <w:t>American Economic Review, 103</w:t>
      </w:r>
      <w:r w:rsidRPr="005E391B">
        <w:t xml:space="preserve">(2), 897-947. </w:t>
      </w:r>
      <w:hyperlink r:id="rId7" w:history="1">
        <w:r w:rsidRPr="005E391B">
          <w:rPr>
            <w:rStyle w:val="Hyperlink"/>
          </w:rPr>
          <w:t>https://doi.org/10.1257/aer.103.2.897</w:t>
        </w:r>
      </w:hyperlink>
    </w:p>
    <w:p w14:paraId="189DE579" w14:textId="7850FA06" w:rsidR="007A43ED" w:rsidRDefault="007A43ED" w:rsidP="007A43ED">
      <w:r w:rsidRPr="007A43ED">
        <w:rPr>
          <w:b/>
          <w:bCs/>
        </w:rPr>
        <w:t>Maryland Department of Commerce. (</w:t>
      </w:r>
      <w:r w:rsidR="00906215">
        <w:rPr>
          <w:b/>
          <w:bCs/>
        </w:rPr>
        <w:t>2025, May</w:t>
      </w:r>
      <w:r w:rsidRPr="007A43ED">
        <w:rPr>
          <w:b/>
          <w:bCs/>
        </w:rPr>
        <w:t>).</w:t>
      </w:r>
      <w:r w:rsidRPr="007A43ED">
        <w:t xml:space="preserve"> </w:t>
      </w:r>
      <w:r w:rsidRPr="007A43ED">
        <w:rPr>
          <w:i/>
          <w:iCs/>
        </w:rPr>
        <w:t>Maryland incentive zones: Enterprise zones</w:t>
      </w:r>
      <w:r w:rsidRPr="007A43ED">
        <w:t xml:space="preserve"> [GIS dataset]. Maryland </w:t>
      </w:r>
      <w:proofErr w:type="spellStart"/>
      <w:r w:rsidRPr="007A43ED">
        <w:t>iMAP</w:t>
      </w:r>
      <w:proofErr w:type="spellEnd"/>
      <w:r w:rsidRPr="007A43ED">
        <w:t xml:space="preserve">. </w:t>
      </w:r>
      <w:hyperlink r:id="rId8" w:history="1">
        <w:r w:rsidRPr="007A43ED">
          <w:rPr>
            <w:rStyle w:val="Hyperlink"/>
          </w:rPr>
          <w:t>https://data.imap.maryland.gov/datasets/maryland::maryland-incentive-zones-enterprise-zones/about</w:t>
        </w:r>
      </w:hyperlink>
    </w:p>
    <w:p w14:paraId="67EB39F4" w14:textId="3C702288" w:rsidR="007A43ED" w:rsidRDefault="007A43ED" w:rsidP="007A43ED">
      <w:r w:rsidRPr="007A43ED">
        <w:rPr>
          <w:b/>
          <w:bCs/>
        </w:rPr>
        <w:t>Maryland Department of Commerce, Office of Finance Programs. (2025, December).</w:t>
      </w:r>
      <w:r w:rsidRPr="007A43ED">
        <w:t xml:space="preserve"> </w:t>
      </w:r>
      <w:r w:rsidRPr="007A43ED">
        <w:rPr>
          <w:i/>
          <w:iCs/>
        </w:rPr>
        <w:t>Enterprise zones annual status report: Calendar year 2025.</w:t>
      </w:r>
      <w:r w:rsidRPr="007A43ED">
        <w:t xml:space="preserve"> Maryland Department of Commerce. </w:t>
      </w:r>
      <w:hyperlink r:id="rId9" w:history="1">
        <w:r w:rsidRPr="007A43ED">
          <w:rPr>
            <w:rStyle w:val="Hyperlink"/>
          </w:rPr>
          <w:t>https://commerce.maryland.gov/Documents/Enterprise.Zone.Annual.Report.2025.pdf</w:t>
        </w:r>
      </w:hyperlink>
    </w:p>
    <w:p w14:paraId="74C7EB14" w14:textId="4F3B0F8E" w:rsidR="00D5382D" w:rsidRDefault="00D5382D" w:rsidP="007A43ED">
      <w:r w:rsidRPr="00D5382D">
        <w:rPr>
          <w:b/>
          <w:bCs/>
        </w:rPr>
        <w:t>Maryland Department of Commerce. (n.d.).</w:t>
      </w:r>
      <w:r w:rsidRPr="00D5382D">
        <w:t xml:space="preserve"> </w:t>
      </w:r>
      <w:r w:rsidRPr="00D5382D">
        <w:rPr>
          <w:i/>
          <w:iCs/>
        </w:rPr>
        <w:t>Enterprise zone tax credit.</w:t>
      </w:r>
      <w:r w:rsidRPr="00D5382D">
        <w:t xml:space="preserve"> Office of Finance Programs. </w:t>
      </w:r>
      <w:hyperlink r:id="rId10" w:history="1">
        <w:r w:rsidRPr="00D5382D">
          <w:rPr>
            <w:rStyle w:val="Hyperlink"/>
          </w:rPr>
          <w:t>https://commerce.maryland.gov/fund/programs-for-businesses/enterprise-zone-tax-credit</w:t>
        </w:r>
      </w:hyperlink>
    </w:p>
    <w:p w14:paraId="7B83F71E" w14:textId="7BE55DAA" w:rsidR="00491415" w:rsidRDefault="00491415" w:rsidP="007A43ED">
      <w:r w:rsidRPr="00491415">
        <w:rPr>
          <w:b/>
          <w:bCs/>
        </w:rPr>
        <w:t>Maryland Department of Commerce. (2018, January 10).</w:t>
      </w:r>
      <w:r w:rsidRPr="00491415">
        <w:t xml:space="preserve"> </w:t>
      </w:r>
      <w:r w:rsidRPr="00491415">
        <w:rPr>
          <w:i/>
          <w:iCs/>
        </w:rPr>
        <w:t>Maryland Commerce designates, redesignates and expands three enterprise zones.</w:t>
      </w:r>
      <w:r w:rsidRPr="00491415">
        <w:t xml:space="preserve"> </w:t>
      </w:r>
      <w:hyperlink r:id="rId11" w:history="1">
        <w:r w:rsidRPr="00491415">
          <w:rPr>
            <w:rStyle w:val="Hyperlink"/>
          </w:rPr>
          <w:t>https://commerce.maryland.gov/media/maryland-commerce-designates-redesignates-and-expands-three-enterprise-zones</w:t>
        </w:r>
      </w:hyperlink>
    </w:p>
    <w:p w14:paraId="5C6C6176" w14:textId="77777777" w:rsidR="00F27902" w:rsidRDefault="00491415" w:rsidP="00F27902">
      <w:pPr>
        <w:rPr>
          <w:b/>
          <w:bCs/>
          <w:lang w:val="de-DE"/>
        </w:rPr>
      </w:pPr>
      <w:r w:rsidRPr="00491415">
        <w:rPr>
          <w:b/>
          <w:bCs/>
        </w:rPr>
        <w:t>Miller, A., &amp; Williams, J. (2022, June 7).</w:t>
      </w:r>
      <w:r w:rsidRPr="00491415">
        <w:t xml:space="preserve"> </w:t>
      </w:r>
      <w:r w:rsidRPr="00491415">
        <w:rPr>
          <w:i/>
          <w:iCs/>
        </w:rPr>
        <w:t>Baltimore City's enterprise zone boundaries are being redrawn and expanded.</w:t>
      </w:r>
      <w:r w:rsidRPr="00491415">
        <w:t xml:space="preserve"> </w:t>
      </w:r>
      <w:r w:rsidRPr="00491415">
        <w:rPr>
          <w:lang w:val="de-DE"/>
        </w:rPr>
        <w:t xml:space="preserve">Rosenberg Martin Greenberg LLP. </w:t>
      </w:r>
      <w:hyperlink r:id="rId12" w:history="1">
        <w:r w:rsidRPr="00491415">
          <w:rPr>
            <w:rStyle w:val="Hyperlink"/>
            <w:lang w:val="de-DE"/>
          </w:rPr>
          <w:t>https://rosenbergmartin.com/baltimore-citys-enterprise-zone-boundaries-are-being-redrawn-and-expanded-certain-businesses-and-developers-in-areas-losing-the-designation-must-act-quickly-to-preserve-eligibility/</w:t>
        </w:r>
      </w:hyperlink>
      <w:r w:rsidR="00F27902" w:rsidRPr="00F27902">
        <w:rPr>
          <w:b/>
          <w:bCs/>
          <w:lang w:val="de-DE"/>
        </w:rPr>
        <w:t xml:space="preserve"> </w:t>
      </w:r>
    </w:p>
    <w:p w14:paraId="75344AE8" w14:textId="69C8EE57" w:rsidR="00F27902" w:rsidRPr="005E391B" w:rsidRDefault="00F27902" w:rsidP="00F27902">
      <w:r w:rsidRPr="00D44DDC">
        <w:rPr>
          <w:b/>
          <w:bCs/>
        </w:rPr>
        <w:t>Neumark, D., &amp; Kolko, J. (2010).</w:t>
      </w:r>
      <w:r w:rsidRPr="00D44DDC">
        <w:t xml:space="preserve"> </w:t>
      </w:r>
      <w:r w:rsidRPr="005E391B">
        <w:t xml:space="preserve">Do enterprise zones create jobs? Evidence from California's enterprise zone program. </w:t>
      </w:r>
      <w:r w:rsidRPr="005E391B">
        <w:rPr>
          <w:i/>
          <w:iCs/>
        </w:rPr>
        <w:t>Journal of Urban Economics, 68</w:t>
      </w:r>
      <w:r w:rsidRPr="005E391B">
        <w:t xml:space="preserve">(1), 1-19. </w:t>
      </w:r>
      <w:hyperlink r:id="rId13" w:history="1">
        <w:r w:rsidRPr="005E391B">
          <w:rPr>
            <w:rStyle w:val="Hyperlink"/>
          </w:rPr>
          <w:t>https://doi.org/10.1016/j.jue.2010.01.002</w:t>
        </w:r>
      </w:hyperlink>
    </w:p>
    <w:p w14:paraId="078BCA36" w14:textId="722A9B51" w:rsidR="00491415" w:rsidRPr="00491415" w:rsidRDefault="00491415" w:rsidP="007A43ED">
      <w:pPr>
        <w:rPr>
          <w:lang w:val="de-DE"/>
        </w:rPr>
      </w:pPr>
    </w:p>
    <w:sectPr w:rsidR="00491415" w:rsidRPr="00491415">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2D29B" w14:textId="77777777" w:rsidR="00A5673F" w:rsidRDefault="00A5673F" w:rsidP="00E841AB">
      <w:pPr>
        <w:spacing w:after="0" w:line="240" w:lineRule="auto"/>
      </w:pPr>
      <w:r>
        <w:separator/>
      </w:r>
    </w:p>
  </w:endnote>
  <w:endnote w:type="continuationSeparator" w:id="0">
    <w:p w14:paraId="03E306C4" w14:textId="77777777" w:rsidR="00A5673F" w:rsidRDefault="00A5673F" w:rsidP="00E841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ptos" w:hAnsi="Aptos"/>
        <w:sz w:val="22"/>
        <w:szCs w:val="22"/>
      </w:rPr>
      <w:id w:val="242381518"/>
      <w:docPartObj>
        <w:docPartGallery w:val="Page Numbers (Bottom of Page)"/>
        <w:docPartUnique/>
      </w:docPartObj>
    </w:sdtPr>
    <w:sdtEndPr>
      <w:rPr>
        <w:noProof/>
      </w:rPr>
    </w:sdtEndPr>
    <w:sdtContent>
      <w:p w14:paraId="6E31C5FD" w14:textId="47473682" w:rsidR="00E841AB" w:rsidRPr="00E841AB" w:rsidRDefault="00E841AB">
        <w:pPr>
          <w:pStyle w:val="Footer"/>
          <w:jc w:val="center"/>
          <w:rPr>
            <w:rFonts w:ascii="Aptos" w:hAnsi="Aptos"/>
            <w:sz w:val="22"/>
            <w:szCs w:val="22"/>
          </w:rPr>
        </w:pPr>
        <w:r w:rsidRPr="00E841AB">
          <w:rPr>
            <w:rFonts w:ascii="Aptos" w:hAnsi="Aptos"/>
            <w:sz w:val="22"/>
            <w:szCs w:val="22"/>
          </w:rPr>
          <w:fldChar w:fldCharType="begin"/>
        </w:r>
        <w:r w:rsidRPr="00E841AB">
          <w:rPr>
            <w:rFonts w:ascii="Aptos" w:hAnsi="Aptos"/>
            <w:sz w:val="22"/>
            <w:szCs w:val="22"/>
          </w:rPr>
          <w:instrText xml:space="preserve"> PAGE   \* MERGEFORMAT </w:instrText>
        </w:r>
        <w:r w:rsidRPr="00E841AB">
          <w:rPr>
            <w:rFonts w:ascii="Aptos" w:hAnsi="Aptos"/>
            <w:sz w:val="22"/>
            <w:szCs w:val="22"/>
          </w:rPr>
          <w:fldChar w:fldCharType="separate"/>
        </w:r>
        <w:r w:rsidRPr="00E841AB">
          <w:rPr>
            <w:rFonts w:ascii="Aptos" w:hAnsi="Aptos"/>
            <w:noProof/>
            <w:sz w:val="22"/>
            <w:szCs w:val="22"/>
          </w:rPr>
          <w:t>2</w:t>
        </w:r>
        <w:r w:rsidRPr="00E841AB">
          <w:rPr>
            <w:rFonts w:ascii="Aptos" w:hAnsi="Aptos"/>
            <w:noProof/>
            <w:sz w:val="22"/>
            <w:szCs w:val="22"/>
          </w:rPr>
          <w:fldChar w:fldCharType="end"/>
        </w:r>
      </w:p>
    </w:sdtContent>
  </w:sdt>
  <w:p w14:paraId="5BDA95F2" w14:textId="77777777" w:rsidR="00E841AB" w:rsidRPr="00E841AB" w:rsidRDefault="00E841AB">
    <w:pPr>
      <w:pStyle w:val="Footer"/>
      <w:rPr>
        <w:rFonts w:ascii="Aptos" w:hAnsi="Aptos"/>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3FD13" w14:textId="77777777" w:rsidR="00A5673F" w:rsidRDefault="00A5673F" w:rsidP="00E841AB">
      <w:pPr>
        <w:spacing w:after="0" w:line="240" w:lineRule="auto"/>
      </w:pPr>
      <w:r>
        <w:separator/>
      </w:r>
    </w:p>
  </w:footnote>
  <w:footnote w:type="continuationSeparator" w:id="0">
    <w:p w14:paraId="46D69AAC" w14:textId="77777777" w:rsidR="00A5673F" w:rsidRDefault="00A5673F" w:rsidP="00E841A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71729F"/>
    <w:multiLevelType w:val="multilevel"/>
    <w:tmpl w:val="032C1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0940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3ED"/>
    <w:rsid w:val="000F6BE3"/>
    <w:rsid w:val="001506C8"/>
    <w:rsid w:val="001D6B87"/>
    <w:rsid w:val="00222554"/>
    <w:rsid w:val="00372C5E"/>
    <w:rsid w:val="00414314"/>
    <w:rsid w:val="004615C0"/>
    <w:rsid w:val="00491415"/>
    <w:rsid w:val="004A382B"/>
    <w:rsid w:val="004A38AB"/>
    <w:rsid w:val="00501C58"/>
    <w:rsid w:val="005E391B"/>
    <w:rsid w:val="00610F4D"/>
    <w:rsid w:val="00613C42"/>
    <w:rsid w:val="0068638A"/>
    <w:rsid w:val="006E5E8A"/>
    <w:rsid w:val="007A43ED"/>
    <w:rsid w:val="00825795"/>
    <w:rsid w:val="00903A67"/>
    <w:rsid w:val="00906215"/>
    <w:rsid w:val="009A4219"/>
    <w:rsid w:val="009D411A"/>
    <w:rsid w:val="00A30017"/>
    <w:rsid w:val="00A5673F"/>
    <w:rsid w:val="00B41125"/>
    <w:rsid w:val="00D150FB"/>
    <w:rsid w:val="00D44DDC"/>
    <w:rsid w:val="00D5382D"/>
    <w:rsid w:val="00DF1A28"/>
    <w:rsid w:val="00E676ED"/>
    <w:rsid w:val="00E841AB"/>
    <w:rsid w:val="00F27902"/>
    <w:rsid w:val="00FA5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230C9"/>
  <w15:chartTrackingRefBased/>
  <w15:docId w15:val="{FD6E0FF6-18BA-48D4-8698-012456BE7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43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43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43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43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43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4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4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4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4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43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43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43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43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43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4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4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4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43ED"/>
    <w:rPr>
      <w:rFonts w:eastAsiaTheme="majorEastAsia" w:cstheme="majorBidi"/>
      <w:color w:val="272727" w:themeColor="text1" w:themeTint="D8"/>
    </w:rPr>
  </w:style>
  <w:style w:type="paragraph" w:styleId="Title">
    <w:name w:val="Title"/>
    <w:basedOn w:val="Normal"/>
    <w:next w:val="Normal"/>
    <w:link w:val="TitleChar"/>
    <w:uiPriority w:val="10"/>
    <w:qFormat/>
    <w:rsid w:val="007A43ED"/>
    <w:pPr>
      <w:spacing w:after="80" w:line="240" w:lineRule="auto"/>
      <w:contextualSpacing/>
    </w:pPr>
    <w:rPr>
      <w:rFonts w:ascii="Aptos" w:eastAsiaTheme="majorEastAsia" w:hAnsi="Aptos" w:cstheme="majorBidi"/>
      <w:spacing w:val="-10"/>
      <w:kern w:val="28"/>
      <w:sz w:val="56"/>
      <w:szCs w:val="56"/>
    </w:rPr>
  </w:style>
  <w:style w:type="character" w:customStyle="1" w:styleId="TitleChar">
    <w:name w:val="Title Char"/>
    <w:basedOn w:val="DefaultParagraphFont"/>
    <w:link w:val="Title"/>
    <w:uiPriority w:val="10"/>
    <w:rsid w:val="007A43ED"/>
    <w:rPr>
      <w:rFonts w:ascii="Aptos" w:eastAsiaTheme="majorEastAsia" w:hAnsi="Aptos" w:cstheme="majorBidi"/>
      <w:spacing w:val="-10"/>
      <w:kern w:val="28"/>
      <w:sz w:val="56"/>
      <w:szCs w:val="56"/>
    </w:rPr>
  </w:style>
  <w:style w:type="paragraph" w:styleId="Subtitle">
    <w:name w:val="Subtitle"/>
    <w:basedOn w:val="Normal"/>
    <w:next w:val="Normal"/>
    <w:link w:val="SubtitleChar"/>
    <w:uiPriority w:val="11"/>
    <w:qFormat/>
    <w:rsid w:val="007A4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4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43ED"/>
    <w:pPr>
      <w:spacing w:before="160"/>
      <w:jc w:val="center"/>
    </w:pPr>
    <w:rPr>
      <w:i/>
      <w:iCs/>
      <w:color w:val="404040" w:themeColor="text1" w:themeTint="BF"/>
    </w:rPr>
  </w:style>
  <w:style w:type="character" w:customStyle="1" w:styleId="QuoteChar">
    <w:name w:val="Quote Char"/>
    <w:basedOn w:val="DefaultParagraphFont"/>
    <w:link w:val="Quote"/>
    <w:uiPriority w:val="29"/>
    <w:rsid w:val="007A43ED"/>
    <w:rPr>
      <w:i/>
      <w:iCs/>
      <w:color w:val="404040" w:themeColor="text1" w:themeTint="BF"/>
    </w:rPr>
  </w:style>
  <w:style w:type="paragraph" w:styleId="ListParagraph">
    <w:name w:val="List Paragraph"/>
    <w:basedOn w:val="Normal"/>
    <w:uiPriority w:val="34"/>
    <w:qFormat/>
    <w:rsid w:val="007A43ED"/>
    <w:pPr>
      <w:ind w:left="720"/>
      <w:contextualSpacing/>
    </w:pPr>
  </w:style>
  <w:style w:type="character" w:styleId="IntenseEmphasis">
    <w:name w:val="Intense Emphasis"/>
    <w:basedOn w:val="DefaultParagraphFont"/>
    <w:uiPriority w:val="21"/>
    <w:qFormat/>
    <w:rsid w:val="007A43ED"/>
    <w:rPr>
      <w:i/>
      <w:iCs/>
      <w:color w:val="2F5496" w:themeColor="accent1" w:themeShade="BF"/>
    </w:rPr>
  </w:style>
  <w:style w:type="paragraph" w:styleId="IntenseQuote">
    <w:name w:val="Intense Quote"/>
    <w:basedOn w:val="Normal"/>
    <w:next w:val="Normal"/>
    <w:link w:val="IntenseQuoteChar"/>
    <w:uiPriority w:val="30"/>
    <w:qFormat/>
    <w:rsid w:val="007A43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43ED"/>
    <w:rPr>
      <w:i/>
      <w:iCs/>
      <w:color w:val="2F5496" w:themeColor="accent1" w:themeShade="BF"/>
    </w:rPr>
  </w:style>
  <w:style w:type="character" w:styleId="IntenseReference">
    <w:name w:val="Intense Reference"/>
    <w:basedOn w:val="DefaultParagraphFont"/>
    <w:uiPriority w:val="32"/>
    <w:qFormat/>
    <w:rsid w:val="007A43ED"/>
    <w:rPr>
      <w:b/>
      <w:bCs/>
      <w:smallCaps/>
      <w:color w:val="2F5496" w:themeColor="accent1" w:themeShade="BF"/>
      <w:spacing w:val="5"/>
    </w:rPr>
  </w:style>
  <w:style w:type="character" w:styleId="Hyperlink">
    <w:name w:val="Hyperlink"/>
    <w:basedOn w:val="DefaultParagraphFont"/>
    <w:uiPriority w:val="99"/>
    <w:unhideWhenUsed/>
    <w:rsid w:val="007A43ED"/>
    <w:rPr>
      <w:color w:val="0563C1" w:themeColor="hyperlink"/>
      <w:u w:val="single"/>
    </w:rPr>
  </w:style>
  <w:style w:type="character" w:styleId="UnresolvedMention">
    <w:name w:val="Unresolved Mention"/>
    <w:basedOn w:val="DefaultParagraphFont"/>
    <w:uiPriority w:val="99"/>
    <w:semiHidden/>
    <w:unhideWhenUsed/>
    <w:rsid w:val="007A43ED"/>
    <w:rPr>
      <w:color w:val="605E5C"/>
      <w:shd w:val="clear" w:color="auto" w:fill="E1DFDD"/>
    </w:rPr>
  </w:style>
  <w:style w:type="character" w:styleId="FollowedHyperlink">
    <w:name w:val="FollowedHyperlink"/>
    <w:basedOn w:val="DefaultParagraphFont"/>
    <w:uiPriority w:val="99"/>
    <w:semiHidden/>
    <w:unhideWhenUsed/>
    <w:rsid w:val="00906215"/>
    <w:rPr>
      <w:color w:val="954F72" w:themeColor="followedHyperlink"/>
      <w:u w:val="single"/>
    </w:rPr>
  </w:style>
  <w:style w:type="paragraph" w:styleId="Header">
    <w:name w:val="header"/>
    <w:basedOn w:val="Normal"/>
    <w:link w:val="HeaderChar"/>
    <w:uiPriority w:val="99"/>
    <w:unhideWhenUsed/>
    <w:rsid w:val="00E841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841AB"/>
  </w:style>
  <w:style w:type="paragraph" w:styleId="Footer">
    <w:name w:val="footer"/>
    <w:basedOn w:val="Normal"/>
    <w:link w:val="FooterChar"/>
    <w:uiPriority w:val="99"/>
    <w:unhideWhenUsed/>
    <w:rsid w:val="00E841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841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imap.maryland.gov/datasets/maryland::maryland-incentive-zones-enterprise-zones/about" TargetMode="External"/><Relationship Id="rId13" Type="http://schemas.openxmlformats.org/officeDocument/2006/relationships/hyperlink" Target="https://doi.org/10.1016/j.jue.2010.01.002" TargetMode="External"/><Relationship Id="rId3" Type="http://schemas.openxmlformats.org/officeDocument/2006/relationships/settings" Target="settings.xml"/><Relationship Id="rId7" Type="http://schemas.openxmlformats.org/officeDocument/2006/relationships/hyperlink" Target="https://doi.org/10.1257/aer.103.2.897" TargetMode="External"/><Relationship Id="rId12" Type="http://schemas.openxmlformats.org/officeDocument/2006/relationships/hyperlink" Target="https://rosenbergmartin.com/baltimore-citys-enterprise-zone-boundaries-are-being-redrawn-and-expanded-certain-businesses-and-developers-in-areas-losing-the-designation-must-act-quickly-to-preserve-eligibility/"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mmerce.maryland.gov/media/maryland-commerce-designates-redesignates-and-expands-three-enterprise-zone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commerce.maryland.gov/fund/programs-for-businesses/enterprise-zone-tax-credit" TargetMode="External"/><Relationship Id="rId4" Type="http://schemas.openxmlformats.org/officeDocument/2006/relationships/webSettings" Target="webSettings.xml"/><Relationship Id="rId9" Type="http://schemas.openxmlformats.org/officeDocument/2006/relationships/hyperlink" Target="https://commerce.maryland.gov/Documents/Enterprise.Zone.Annual.Report.2025.pdf"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1955</TotalTime>
  <Pages>5</Pages>
  <Words>1410</Words>
  <Characters>8041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 Orsini</dc:creator>
  <cp:keywords/>
  <dc:description/>
  <cp:lastModifiedBy>Nicholas Orsini</cp:lastModifiedBy>
  <cp:revision>9</cp:revision>
  <dcterms:created xsi:type="dcterms:W3CDTF">2026-04-03T16:39:00Z</dcterms:created>
  <dcterms:modified xsi:type="dcterms:W3CDTF">2026-04-05T01:39:00Z</dcterms:modified>
</cp:coreProperties>
</file>