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73F1" w14:textId="77777777" w:rsidR="00026C4D" w:rsidRDefault="00026C4D" w:rsidP="00026C4D">
      <w:pPr>
        <w:pStyle w:val="Heading1"/>
        <w:spacing w:after="0"/>
      </w:pPr>
      <w:r>
        <w:t>Proposal Instructions:</w:t>
      </w:r>
    </w:p>
    <w:p w14:paraId="53C49CBF" w14:textId="77777777" w:rsidR="00026C4D" w:rsidRDefault="00026C4D" w:rsidP="00026C4D">
      <w:pPr>
        <w:spacing w:after="0"/>
        <w:ind w:left="360"/>
      </w:pPr>
      <w:r w:rsidRPr="008F6EB1">
        <w:t>Length: 1–2 pages</w:t>
      </w:r>
    </w:p>
    <w:p w14:paraId="38BE2E11" w14:textId="77777777" w:rsidR="00026C4D" w:rsidRDefault="00026C4D" w:rsidP="00026C4D">
      <w:pPr>
        <w:pStyle w:val="Heading5"/>
        <w:numPr>
          <w:ilvl w:val="0"/>
          <w:numId w:val="1"/>
        </w:numPr>
        <w:tabs>
          <w:tab w:val="num" w:pos="360"/>
        </w:tabs>
        <w:spacing w:after="0"/>
        <w:ind w:left="360" w:firstLine="0"/>
      </w:pPr>
      <w:r w:rsidRPr="008F6EB1">
        <w:t>City and Policy Topi</w:t>
      </w:r>
      <w:r>
        <w:t>c</w:t>
      </w:r>
    </w:p>
    <w:p w14:paraId="72FA247B" w14:textId="77777777" w:rsidR="00026C4D" w:rsidRPr="008F6EB1" w:rsidRDefault="00026C4D" w:rsidP="00026C4D">
      <w:pPr>
        <w:pStyle w:val="ListParagraph"/>
        <w:numPr>
          <w:ilvl w:val="0"/>
          <w:numId w:val="4"/>
        </w:numPr>
        <w:spacing w:after="0"/>
        <w:ind w:hanging="270"/>
      </w:pPr>
      <w:r w:rsidRPr="008F6EB1">
        <w:t>Identify the city you plan to study and briefly describe the policy issue you will analyze.</w:t>
      </w:r>
    </w:p>
    <w:p w14:paraId="01566884" w14:textId="77777777" w:rsidR="00026C4D" w:rsidRDefault="00026C4D" w:rsidP="00026C4D">
      <w:pPr>
        <w:pStyle w:val="ListParagraph"/>
        <w:numPr>
          <w:ilvl w:val="0"/>
          <w:numId w:val="1"/>
        </w:numPr>
        <w:spacing w:after="0"/>
        <w:rPr>
          <w:rStyle w:val="Heading5Char"/>
        </w:rPr>
      </w:pPr>
      <w:r w:rsidRPr="008F6EB1">
        <w:rPr>
          <w:rStyle w:val="Heading5Char"/>
        </w:rPr>
        <w:t>Policy Question</w:t>
      </w:r>
    </w:p>
    <w:p w14:paraId="6AF43DBB" w14:textId="77777777" w:rsidR="00026C4D" w:rsidRPr="008F6EB1" w:rsidRDefault="00026C4D" w:rsidP="00026C4D">
      <w:pPr>
        <w:pStyle w:val="ListParagraph"/>
        <w:numPr>
          <w:ilvl w:val="0"/>
          <w:numId w:val="3"/>
        </w:numPr>
        <w:spacing w:after="0"/>
        <w:ind w:hanging="270"/>
      </w:pPr>
      <w:r w:rsidRPr="008F6EB1">
        <w:t>State the specific question your project will address.</w:t>
      </w:r>
    </w:p>
    <w:p w14:paraId="36F12E77" w14:textId="77777777" w:rsidR="00026C4D" w:rsidRDefault="00026C4D" w:rsidP="00026C4D">
      <w:pPr>
        <w:pStyle w:val="ListParagraph"/>
        <w:numPr>
          <w:ilvl w:val="0"/>
          <w:numId w:val="1"/>
        </w:numPr>
        <w:spacing w:after="0"/>
        <w:rPr>
          <w:rStyle w:val="Heading5Char"/>
        </w:rPr>
      </w:pPr>
      <w:r w:rsidRPr="008F6EB1">
        <w:rPr>
          <w:rStyle w:val="Heading5Char"/>
        </w:rPr>
        <w:t>Relevant Urban Economic Models</w:t>
      </w:r>
    </w:p>
    <w:p w14:paraId="5D905017" w14:textId="77777777" w:rsidR="00026C4D" w:rsidRPr="008F6EB1" w:rsidRDefault="00026C4D" w:rsidP="00026C4D">
      <w:pPr>
        <w:pStyle w:val="ListParagraph"/>
        <w:numPr>
          <w:ilvl w:val="0"/>
          <w:numId w:val="2"/>
        </w:numPr>
        <w:spacing w:after="0"/>
        <w:ind w:hanging="270"/>
      </w:pPr>
      <w:r w:rsidRPr="008F6EB1">
        <w:t>Identify one or more models from the course that you expect to use in your analysis and briefly explain how they relate to the policy question.</w:t>
      </w:r>
    </w:p>
    <w:p w14:paraId="045D596D" w14:textId="77777777" w:rsidR="00026C4D" w:rsidRDefault="00026C4D" w:rsidP="00026C4D">
      <w:pPr>
        <w:pStyle w:val="ListParagraph"/>
        <w:numPr>
          <w:ilvl w:val="0"/>
          <w:numId w:val="1"/>
        </w:numPr>
        <w:spacing w:after="0"/>
      </w:pPr>
      <w:r w:rsidRPr="008F6EB1">
        <w:rPr>
          <w:rStyle w:val="Heading5Char"/>
        </w:rPr>
        <w:t>Potential Data Source</w:t>
      </w:r>
      <w:r>
        <w:rPr>
          <w:rStyle w:val="Heading5Char"/>
        </w:rPr>
        <w:t>s</w:t>
      </w:r>
    </w:p>
    <w:p w14:paraId="0C3C60A0" w14:textId="77777777" w:rsidR="00026C4D" w:rsidRDefault="00026C4D" w:rsidP="00026C4D">
      <w:pPr>
        <w:pStyle w:val="ListParagraph"/>
        <w:numPr>
          <w:ilvl w:val="0"/>
          <w:numId w:val="2"/>
        </w:numPr>
        <w:spacing w:after="0"/>
        <w:ind w:hanging="270"/>
      </w:pPr>
      <w:r w:rsidRPr="008F6EB1">
        <w:t>Briefly describe the data you expect to use.</w:t>
      </w:r>
    </w:p>
    <w:p w14:paraId="253109D6" w14:textId="77777777" w:rsidR="00026C4D" w:rsidRDefault="00026C4D" w:rsidP="00026C4D">
      <w:pPr>
        <w:spacing w:after="0"/>
      </w:pPr>
    </w:p>
    <w:p w14:paraId="7BB819A5" w14:textId="77777777" w:rsidR="00026C4D" w:rsidRPr="008F6EB1" w:rsidRDefault="00026C4D" w:rsidP="00026C4D">
      <w:pPr>
        <w:spacing w:after="0"/>
      </w:pPr>
    </w:p>
    <w:p w14:paraId="71A41992" w14:textId="1B73552E" w:rsidR="00026C4D" w:rsidRDefault="00026C4D" w:rsidP="00026C4D">
      <w:pPr>
        <w:pStyle w:val="Heading1"/>
        <w:numPr>
          <w:ilvl w:val="0"/>
          <w:numId w:val="5"/>
        </w:numPr>
      </w:pPr>
      <w:r>
        <w:t>City and Policy Topic</w:t>
      </w:r>
    </w:p>
    <w:p w14:paraId="6781BF71" w14:textId="77777777" w:rsidR="006C6F94" w:rsidRDefault="005B790A" w:rsidP="00026C4D">
      <w:pPr>
        <w:ind w:left="360"/>
      </w:pPr>
      <w:r>
        <w:t>The Enterprise Zone program was established in 1982</w:t>
      </w:r>
      <w:r w:rsidR="006C6F94">
        <w:t>. …</w:t>
      </w:r>
    </w:p>
    <w:p w14:paraId="38EA6F7B" w14:textId="071FBC26" w:rsidR="00026C4D" w:rsidRDefault="00026C4D" w:rsidP="00026C4D">
      <w:pPr>
        <w:ind w:left="360"/>
      </w:pPr>
      <w:r w:rsidRPr="00026C4D">
        <w:t>This paper will analyze the treatment effects Enterprise Zone Designations (EZD) have had on the development of neighborhoods in Baltimore, Maryland</w:t>
      </w:r>
      <w:r>
        <w:t xml:space="preserve">. </w:t>
      </w:r>
    </w:p>
    <w:p w14:paraId="2B1B8B44" w14:textId="5B934440" w:rsidR="00026C4D" w:rsidRDefault="00026C4D" w:rsidP="00026C4D">
      <w:pPr>
        <w:ind w:left="360"/>
      </w:pPr>
      <w:r>
        <w:t xml:space="preserve">The Baltimore Development Corporation (BDC) manages the </w:t>
      </w:r>
      <w:r w:rsidRPr="00026C4D">
        <w:t>State of Maryland Enterprise Zone (EZ) program in Baltimore City.</w:t>
      </w:r>
      <w:r w:rsidR="00106FC7">
        <w:t xml:space="preserve"> The EZ program provides property and state income tax credits for businesses within these areas. (BDC, n.d.). The goal of the EZ program is attract new development and business growth. </w:t>
      </w:r>
    </w:p>
    <w:p w14:paraId="79E7597B" w14:textId="018B1392" w:rsidR="00106FC7" w:rsidRDefault="00106FC7" w:rsidP="00106FC7">
      <w:pPr>
        <w:spacing w:after="0"/>
        <w:ind w:left="360"/>
      </w:pPr>
      <w:r>
        <w:t>According to BDC, an enterprise zone remains for 10 years where the benefits scale with time and growth levels. Real property tax credits and income tax credits scale differently.</w:t>
      </w:r>
    </w:p>
    <w:p w14:paraId="4B4D5970" w14:textId="77777777" w:rsidR="00106FC7" w:rsidRPr="00106FC7" w:rsidRDefault="00106FC7" w:rsidP="00106FC7">
      <w:pPr>
        <w:pStyle w:val="ListParagraph"/>
        <w:spacing w:before="240" w:after="0"/>
        <w:rPr>
          <w:u w:val="single"/>
        </w:rPr>
      </w:pPr>
      <w:r w:rsidRPr="00106FC7">
        <w:rPr>
          <w:u w:val="single"/>
        </w:rPr>
        <w:t>Real Property Tax Credits</w:t>
      </w:r>
    </w:p>
    <w:p w14:paraId="3141FCDE" w14:textId="77777777" w:rsidR="00106FC7" w:rsidRDefault="00106FC7" w:rsidP="00106FC7">
      <w:pPr>
        <w:pStyle w:val="ListParagraph"/>
        <w:numPr>
          <w:ilvl w:val="0"/>
          <w:numId w:val="7"/>
        </w:numPr>
        <w:spacing w:after="0"/>
      </w:pPr>
      <w:r>
        <w:t>10-year tax credit on incremental increase in property taxes resulting from real property improvements</w:t>
      </w:r>
    </w:p>
    <w:p w14:paraId="1FADD170" w14:textId="77777777" w:rsidR="00106FC7" w:rsidRDefault="00106FC7" w:rsidP="00106FC7">
      <w:pPr>
        <w:pStyle w:val="ListParagraph"/>
        <w:numPr>
          <w:ilvl w:val="0"/>
          <w:numId w:val="7"/>
        </w:numPr>
        <w:spacing w:after="0"/>
      </w:pPr>
      <w:r>
        <w:t>80 percent tax credit years 1-5</w:t>
      </w:r>
    </w:p>
    <w:p w14:paraId="60AA4FAB" w14:textId="77777777" w:rsidR="00106FC7" w:rsidRDefault="00106FC7" w:rsidP="00106FC7">
      <w:pPr>
        <w:pStyle w:val="ListParagraph"/>
        <w:numPr>
          <w:ilvl w:val="0"/>
          <w:numId w:val="7"/>
        </w:numPr>
        <w:spacing w:after="0"/>
      </w:pPr>
      <w:r>
        <w:t>Decreases 10 percent annually years 6-10</w:t>
      </w:r>
    </w:p>
    <w:p w14:paraId="1B8E9E80" w14:textId="1A022DF8" w:rsidR="00106FC7" w:rsidRDefault="00106FC7" w:rsidP="00106FC7">
      <w:pPr>
        <w:pStyle w:val="ListParagraph"/>
        <w:numPr>
          <w:ilvl w:val="0"/>
          <w:numId w:val="7"/>
        </w:numPr>
        <w:spacing w:after="0"/>
      </w:pPr>
      <w:r>
        <w:t>Tax credit goes to the property owner</w:t>
      </w:r>
    </w:p>
    <w:p w14:paraId="77E21183" w14:textId="77777777" w:rsidR="00106FC7" w:rsidRDefault="00106FC7" w:rsidP="00106FC7">
      <w:pPr>
        <w:spacing w:before="240" w:after="0"/>
        <w:ind w:firstLine="720"/>
        <w:rPr>
          <w:u w:val="single"/>
        </w:rPr>
      </w:pPr>
      <w:r w:rsidRPr="00106FC7">
        <w:rPr>
          <w:u w:val="single"/>
        </w:rPr>
        <w:t>Income Tax Credits</w:t>
      </w:r>
    </w:p>
    <w:p w14:paraId="6063E225" w14:textId="77777777" w:rsidR="00106FC7" w:rsidRPr="00106FC7" w:rsidRDefault="00106FC7" w:rsidP="00106FC7">
      <w:pPr>
        <w:pStyle w:val="ListParagraph"/>
        <w:numPr>
          <w:ilvl w:val="0"/>
          <w:numId w:val="7"/>
        </w:numPr>
        <w:rPr>
          <w:u w:val="single"/>
        </w:rPr>
      </w:pPr>
      <w:r>
        <w:t>$1,000 tax credit per new employee</w:t>
      </w:r>
    </w:p>
    <w:p w14:paraId="65D19373" w14:textId="77777777" w:rsidR="00106FC7" w:rsidRPr="00106FC7" w:rsidRDefault="00106FC7" w:rsidP="00106FC7">
      <w:pPr>
        <w:pStyle w:val="ListParagraph"/>
        <w:numPr>
          <w:ilvl w:val="0"/>
          <w:numId w:val="7"/>
        </w:numPr>
        <w:rPr>
          <w:u w:val="single"/>
        </w:rPr>
      </w:pPr>
      <w:r>
        <w:t>$6,000 tax credit over 3 years for hiring economically disadvantaged employee</w:t>
      </w:r>
    </w:p>
    <w:p w14:paraId="62A0106B" w14:textId="77777777" w:rsidR="00106FC7" w:rsidRPr="00106FC7" w:rsidRDefault="00106FC7" w:rsidP="00106FC7">
      <w:pPr>
        <w:pStyle w:val="ListParagraph"/>
        <w:numPr>
          <w:ilvl w:val="0"/>
          <w:numId w:val="7"/>
        </w:numPr>
        <w:rPr>
          <w:u w:val="single"/>
        </w:rPr>
      </w:pPr>
      <w:r>
        <w:t>Credit may be carried forward for 5 years</w:t>
      </w:r>
    </w:p>
    <w:p w14:paraId="11DC3A18" w14:textId="4D3E1B09" w:rsidR="00106FC7" w:rsidRPr="00106FC7" w:rsidRDefault="00106FC7" w:rsidP="005B790A">
      <w:pPr>
        <w:pStyle w:val="ListParagraph"/>
        <w:numPr>
          <w:ilvl w:val="0"/>
          <w:numId w:val="7"/>
        </w:numPr>
        <w:spacing w:after="0"/>
        <w:rPr>
          <w:u w:val="single"/>
        </w:rPr>
      </w:pPr>
      <w:r>
        <w:t>Credit may be claimed by any firm located within Enterprise Zone eligible property that adds new employment meeting certain requirements</w:t>
      </w:r>
    </w:p>
    <w:p w14:paraId="3C5C1A07" w14:textId="77777777" w:rsidR="005B790A" w:rsidRPr="005B790A" w:rsidRDefault="005B790A" w:rsidP="00026C4D">
      <w:pPr>
        <w:ind w:left="360"/>
        <w:rPr>
          <w:u w:val="single"/>
        </w:rPr>
      </w:pPr>
      <w:r w:rsidRPr="005B790A">
        <w:rPr>
          <w:u w:val="single"/>
        </w:rPr>
        <w:lastRenderedPageBreak/>
        <w:t>EZ regions act as the “treatment” group.</w:t>
      </w:r>
    </w:p>
    <w:p w14:paraId="66C18D24" w14:textId="1B1F5F4D" w:rsidR="00026C4D" w:rsidRDefault="005B790A" w:rsidP="00026C4D">
      <w:pPr>
        <w:ind w:left="360"/>
      </w:pPr>
      <w:r w:rsidRPr="006C6F94">
        <w:rPr>
          <w:i/>
          <w:iCs/>
        </w:rPr>
        <w:t>Interestingly, t</w:t>
      </w:r>
      <w:r w:rsidR="00106FC7" w:rsidRPr="006C6F94">
        <w:rPr>
          <w:i/>
          <w:iCs/>
        </w:rPr>
        <w:t>he credits apply two different incentive approaches, one driven by relief another driven but incentive. Include economic analysis</w:t>
      </w:r>
      <w:r w:rsidRPr="006C6F94">
        <w:rPr>
          <w:i/>
          <w:iCs/>
        </w:rPr>
        <w:t>:</w:t>
      </w:r>
      <w:r w:rsidR="00106FC7" w:rsidRPr="006C6F94">
        <w:rPr>
          <w:i/>
          <w:iCs/>
        </w:rPr>
        <w:t xml:space="preserve"> on</w:t>
      </w:r>
      <w:r w:rsidRPr="006C6F94">
        <w:rPr>
          <w:i/>
          <w:iCs/>
        </w:rPr>
        <w:t xml:space="preserve"> tax+philps+ should there be an economic review of the greater area/neighborhood, how</w:t>
      </w:r>
      <w:r w:rsidR="00106FC7" w:rsidRPr="006C6F94">
        <w:rPr>
          <w:i/>
          <w:iCs/>
        </w:rPr>
        <w:t xml:space="preserve"> that would slide demand</w:t>
      </w:r>
      <w:r w:rsidR="00106FC7">
        <w:t xml:space="preserve"> (change in MRS (connect to roback, business amenity)</w:t>
      </w:r>
      <w:r w:rsidR="006C6F94">
        <w:t>)</w:t>
      </w:r>
    </w:p>
    <w:p w14:paraId="6EC5D492" w14:textId="0B1A17E0" w:rsidR="00106FC7" w:rsidRDefault="00106FC7" w:rsidP="00026C4D">
      <w:pPr>
        <w:ind w:left="360"/>
      </w:pPr>
      <w:r>
        <w:t xml:space="preserve">In </w:t>
      </w:r>
      <w:r w:rsidR="005B790A">
        <w:t>addition,</w:t>
      </w:r>
      <w:r>
        <w:t xml:space="preserve"> Baltimore City include EZ Focus Areas. These receive </w:t>
      </w:r>
      <w:r w:rsidR="005B790A">
        <w:t xml:space="preserve">the following </w:t>
      </w:r>
      <w:r w:rsidR="005B790A">
        <w:rPr>
          <w:u w:val="single"/>
        </w:rPr>
        <w:t>additional</w:t>
      </w:r>
      <w:r w:rsidR="005B790A">
        <w:t xml:space="preserve"> benefits:</w:t>
      </w:r>
    </w:p>
    <w:p w14:paraId="3F0700BF" w14:textId="77777777" w:rsidR="005B790A" w:rsidRPr="005B790A" w:rsidRDefault="005B790A" w:rsidP="005B790A">
      <w:pPr>
        <w:spacing w:after="0"/>
        <w:ind w:firstLine="360"/>
        <w:rPr>
          <w:u w:val="single"/>
        </w:rPr>
      </w:pPr>
      <w:r w:rsidRPr="005B790A">
        <w:rPr>
          <w:u w:val="single"/>
        </w:rPr>
        <w:t>Property Tax Credits</w:t>
      </w:r>
    </w:p>
    <w:p w14:paraId="0AB481FF" w14:textId="77777777" w:rsidR="005B790A" w:rsidRPr="005B790A" w:rsidRDefault="005B790A" w:rsidP="005B790A">
      <w:pPr>
        <w:numPr>
          <w:ilvl w:val="0"/>
          <w:numId w:val="10"/>
        </w:numPr>
        <w:spacing w:after="0"/>
      </w:pPr>
      <w:r w:rsidRPr="005B790A">
        <w:t>Real property tax credit of 80 percent on the increased assessed value for 10 years</w:t>
      </w:r>
    </w:p>
    <w:p w14:paraId="49EBC89C" w14:textId="77777777" w:rsidR="005B790A" w:rsidRPr="005B790A" w:rsidRDefault="005B790A" w:rsidP="005B790A">
      <w:pPr>
        <w:numPr>
          <w:ilvl w:val="0"/>
          <w:numId w:val="10"/>
        </w:numPr>
        <w:spacing w:after="0"/>
      </w:pPr>
      <w:r w:rsidRPr="005B790A">
        <w:t>Personal property tax credit of 80 percent for 10 years on new investment in personal propert</w:t>
      </w:r>
    </w:p>
    <w:p w14:paraId="757BF29E" w14:textId="77777777" w:rsidR="005B790A" w:rsidRPr="005B790A" w:rsidRDefault="005B790A" w:rsidP="005B790A">
      <w:pPr>
        <w:numPr>
          <w:ilvl w:val="0"/>
          <w:numId w:val="10"/>
        </w:numPr>
        <w:spacing w:after="0"/>
      </w:pPr>
      <w:r w:rsidRPr="005B790A">
        <w:t>Credit goes to property owner</w:t>
      </w:r>
    </w:p>
    <w:p w14:paraId="2F179175" w14:textId="7B07BCB7" w:rsidR="005B790A" w:rsidRPr="005B790A" w:rsidRDefault="005B790A" w:rsidP="005B790A">
      <w:pPr>
        <w:spacing w:before="240" w:after="0"/>
        <w:ind w:left="360"/>
        <w:rPr>
          <w:u w:val="single"/>
        </w:rPr>
      </w:pPr>
      <w:r w:rsidRPr="005B790A">
        <w:rPr>
          <w:u w:val="single"/>
        </w:rPr>
        <w:t>Income Tax Credits</w:t>
      </w:r>
    </w:p>
    <w:p w14:paraId="36340B4C" w14:textId="77777777" w:rsidR="005B790A" w:rsidRPr="005B790A" w:rsidRDefault="005B790A" w:rsidP="005B790A">
      <w:pPr>
        <w:numPr>
          <w:ilvl w:val="0"/>
          <w:numId w:val="10"/>
        </w:numPr>
        <w:spacing w:after="0"/>
      </w:pPr>
      <w:r w:rsidRPr="005B790A">
        <w:t>$1,500 tax credit per new employee</w:t>
      </w:r>
    </w:p>
    <w:p w14:paraId="05A23BA1" w14:textId="77777777" w:rsidR="005B790A" w:rsidRPr="005B790A" w:rsidRDefault="005B790A" w:rsidP="005B790A">
      <w:pPr>
        <w:numPr>
          <w:ilvl w:val="0"/>
          <w:numId w:val="10"/>
        </w:numPr>
        <w:spacing w:after="0"/>
      </w:pPr>
      <w:r w:rsidRPr="005B790A">
        <w:t>$9,000 tax credit over 3 years for hiring economically disadvantaged employee</w:t>
      </w:r>
    </w:p>
    <w:p w14:paraId="3BD63ADF" w14:textId="77777777" w:rsidR="005B790A" w:rsidRPr="005B790A" w:rsidRDefault="005B790A" w:rsidP="005B790A">
      <w:pPr>
        <w:numPr>
          <w:ilvl w:val="0"/>
          <w:numId w:val="10"/>
        </w:numPr>
        <w:spacing w:after="0"/>
      </w:pPr>
      <w:r w:rsidRPr="005B790A">
        <w:t>Credit may be carried forward for 5 years</w:t>
      </w:r>
    </w:p>
    <w:p w14:paraId="249D5D5F" w14:textId="77777777" w:rsidR="005B790A" w:rsidRDefault="005B790A" w:rsidP="005B790A">
      <w:pPr>
        <w:numPr>
          <w:ilvl w:val="0"/>
          <w:numId w:val="10"/>
        </w:numPr>
        <w:spacing w:after="0"/>
      </w:pPr>
      <w:r w:rsidRPr="005B790A">
        <w:t>Credit may be claimed by any firm located within Enterprise Zone eligible property that adds new employment meeting certain requirements</w:t>
      </w:r>
    </w:p>
    <w:p w14:paraId="08794153" w14:textId="190839AD" w:rsidR="005B790A" w:rsidRPr="005B790A" w:rsidRDefault="005B790A" w:rsidP="005B790A">
      <w:pPr>
        <w:spacing w:after="0"/>
        <w:ind w:left="360"/>
        <w:rPr>
          <w:u w:val="single"/>
        </w:rPr>
      </w:pPr>
      <w:r w:rsidRPr="005B790A">
        <w:rPr>
          <w:u w:val="single"/>
        </w:rPr>
        <w:t>EZFA regions act as the “extra treatment” group.</w:t>
      </w:r>
    </w:p>
    <w:p w14:paraId="4CA182C6" w14:textId="77777777" w:rsidR="005B790A" w:rsidRDefault="005B790A" w:rsidP="00026C4D">
      <w:pPr>
        <w:ind w:left="360"/>
      </w:pPr>
    </w:p>
    <w:p w14:paraId="0136F582" w14:textId="136377A1" w:rsidR="005B790A" w:rsidRDefault="005B790A" w:rsidP="00026C4D">
      <w:pPr>
        <w:ind w:left="360"/>
      </w:pPr>
      <w:r>
        <w:t>EZs last for 10 years. There have been 3 iterations of EZ areas (2002, 2012, 2022)</w:t>
      </w:r>
    </w:p>
    <w:p w14:paraId="7423460E" w14:textId="094E0544" w:rsidR="005B790A" w:rsidRDefault="005B790A" w:rsidP="00026C4D">
      <w:pPr>
        <w:ind w:left="360"/>
      </w:pPr>
      <w:r>
        <w:t>We compare the treatment effects EZs have had on the development of Baltimore across these periods.</w:t>
      </w:r>
    </w:p>
    <w:p w14:paraId="7D6B7DA5" w14:textId="55A69FE1" w:rsidR="005B790A" w:rsidRDefault="00EF68E3" w:rsidP="00026C4D">
      <w:pPr>
        <w:ind w:left="360"/>
      </w:pPr>
      <w:r>
        <w:t xml:space="preserve">2022 was the last ammendments to the enterprise zone designations. </w:t>
      </w:r>
    </w:p>
    <w:p w14:paraId="713F13BD" w14:textId="169CA5BE" w:rsidR="006C6F94" w:rsidRDefault="006C6F94" w:rsidP="006C6F94">
      <w:pPr>
        <w:pStyle w:val="Heading1"/>
        <w:numPr>
          <w:ilvl w:val="0"/>
          <w:numId w:val="5"/>
        </w:numPr>
      </w:pPr>
      <w:r>
        <w:t>Policy Question</w:t>
      </w:r>
    </w:p>
    <w:p w14:paraId="1B25DE3D" w14:textId="34BDC2C0" w:rsidR="006C6F94" w:rsidRDefault="006C6F94" w:rsidP="006C6F94">
      <w:pPr>
        <w:ind w:left="360"/>
      </w:pPr>
      <w:r>
        <w:t>Potential questions:</w:t>
      </w:r>
    </w:p>
    <w:p w14:paraId="64981899" w14:textId="77DA613A" w:rsidR="006C6F94" w:rsidRDefault="006C6F94" w:rsidP="006C6F94">
      <w:pPr>
        <w:ind w:left="360"/>
      </w:pPr>
      <w:r w:rsidRPr="006C6F94">
        <w:rPr>
          <w:b/>
          <w:bCs/>
        </w:rPr>
        <w:t>Primary Question:</w:t>
      </w:r>
      <w:r w:rsidRPr="006C6F94">
        <w:t xml:space="preserve"> Did Baltimore City's Enterprise Zone designations generate real property value appreciation in treated neighborhoods, above and beyond the citywide trend?</w:t>
      </w:r>
    </w:p>
    <w:p w14:paraId="0DDCF08F" w14:textId="77777777" w:rsidR="006C6F94" w:rsidRPr="006C6F94" w:rsidRDefault="006C6F94" w:rsidP="006C6F94">
      <w:pPr>
        <w:spacing w:after="0"/>
        <w:ind w:left="360"/>
      </w:pPr>
      <w:r w:rsidRPr="006C6F94">
        <w:rPr>
          <w:b/>
          <w:bCs/>
        </w:rPr>
        <w:t>Sub-questions:</w:t>
      </w:r>
    </w:p>
    <w:p w14:paraId="700554DE" w14:textId="77777777" w:rsidR="006C6F94" w:rsidRPr="006C6F94" w:rsidRDefault="006C6F94" w:rsidP="006C6F94">
      <w:pPr>
        <w:numPr>
          <w:ilvl w:val="0"/>
          <w:numId w:val="11"/>
        </w:numPr>
        <w:spacing w:after="0"/>
      </w:pPr>
      <w:r w:rsidRPr="006C6F94">
        <w:t>Does treatment intensity matter — do Focus Area parcels outperform standard EZ parcels, which outperform never-treated parcels?</w:t>
      </w:r>
    </w:p>
    <w:p w14:paraId="1795CE53" w14:textId="516D10EF" w:rsidR="006C6F94" w:rsidRDefault="006C6F94" w:rsidP="006C6F94">
      <w:pPr>
        <w:numPr>
          <w:ilvl w:val="0"/>
          <w:numId w:val="11"/>
        </w:numPr>
      </w:pPr>
      <w:r w:rsidRPr="006C6F94">
        <w:t>Does de-designation tell the same story in reverse — did areas removed in 2022 (Harbor Point, Federal Hill) show stronger appreciation trajectories during their treatment period, consistent with the policy working as intended?</w:t>
      </w:r>
      <w:r>
        <w:t xml:space="preserve"> (</w:t>
      </w:r>
      <w:r w:rsidRPr="006C6F94">
        <w:rPr>
          <w:i/>
          <w:iCs/>
        </w:rPr>
        <w:t>could connect to beginning of class with agglomeration effects?</w:t>
      </w:r>
      <w:r>
        <w:t>)</w:t>
      </w:r>
    </w:p>
    <w:p w14:paraId="62161975" w14:textId="240F2F15" w:rsidR="006C6F94" w:rsidRDefault="006C6F94" w:rsidP="006C6F94">
      <w:pPr>
        <w:numPr>
          <w:ilvl w:val="1"/>
          <w:numId w:val="11"/>
        </w:numPr>
      </w:pPr>
      <w:r>
        <w:rPr>
          <w:b/>
          <w:bCs/>
        </w:rPr>
        <w:t>S</w:t>
      </w:r>
      <w:r w:rsidRPr="006C6F94">
        <w:rPr>
          <w:b/>
          <w:bCs/>
        </w:rPr>
        <w:t>patial analysis angle</w:t>
      </w:r>
      <w:r w:rsidRPr="006C6F94">
        <w:rPr>
          <w:b/>
          <w:bCs/>
        </w:rPr>
        <w:t>:</w:t>
      </w:r>
      <w:r>
        <w:t xml:space="preserve"> </w:t>
      </w:r>
      <w:r w:rsidRPr="006C6F94">
        <w:t xml:space="preserve">if EZ designation generates agglomeration effects, you'd expect to see spatial clustering of appreciation </w:t>
      </w:r>
      <w:r w:rsidRPr="006C6F94">
        <w:rPr>
          <w:i/>
          <w:iCs/>
        </w:rPr>
        <w:t>within and around</w:t>
      </w:r>
      <w:r w:rsidRPr="006C6F94">
        <w:t xml:space="preserve"> EZ boundaries, not just higher average values inside them. Moran's I could test whether appreciation is spatially concentrated in ways that align with EZ geography. That's a more nuanced story than just "EZ parcels went up."</w:t>
      </w:r>
    </w:p>
    <w:p w14:paraId="3FCB1F4F" w14:textId="66DC6E85" w:rsidR="006C6F94" w:rsidRPr="006C6F94" w:rsidRDefault="006C6F94" w:rsidP="006C6F94">
      <w:pPr>
        <w:numPr>
          <w:ilvl w:val="1"/>
          <w:numId w:val="11"/>
        </w:numPr>
      </w:pPr>
      <w:r>
        <w:rPr>
          <w:b/>
          <w:bCs/>
        </w:rPr>
        <w:lastRenderedPageBreak/>
        <w:t>H</w:t>
      </w:r>
      <w:r w:rsidRPr="006C6F94">
        <w:rPr>
          <w:b/>
          <w:bCs/>
        </w:rPr>
        <w:t>otspot angle</w:t>
      </w:r>
      <w:r>
        <w:rPr>
          <w:b/>
          <w:bCs/>
        </w:rPr>
        <w:t>:</w:t>
      </w:r>
      <w:r w:rsidRPr="006C6F94">
        <w:rPr>
          <w:b/>
          <w:bCs/>
        </w:rPr>
        <w:t xml:space="preserve"> </w:t>
      </w:r>
      <w:r w:rsidRPr="006C6F94">
        <w:t xml:space="preserve">If Harbor Point and Federal Hill were hotspots of appreciation </w:t>
      </w:r>
      <w:r w:rsidRPr="006C6F94">
        <w:rPr>
          <w:i/>
          <w:iCs/>
        </w:rPr>
        <w:t>during</w:t>
      </w:r>
      <w:r w:rsidRPr="006C6F94">
        <w:t xml:space="preserve"> their treatment window, and that clustering dissipates or shifts post-de-designation, that's a spatial narrative that's hard to explain away as pure coincidence.</w:t>
      </w:r>
    </w:p>
    <w:p w14:paraId="37E20755" w14:textId="77777777" w:rsidR="006C6F94" w:rsidRPr="006C6F94" w:rsidRDefault="006C6F94" w:rsidP="006C6F94">
      <w:pPr>
        <w:ind w:left="360"/>
      </w:pPr>
    </w:p>
    <w:p w14:paraId="26D50DDA" w14:textId="779A3062" w:rsidR="005B790A" w:rsidRPr="005B790A" w:rsidRDefault="005B790A" w:rsidP="005B790A">
      <w:pPr>
        <w:pStyle w:val="Heading1"/>
      </w:pPr>
      <w:r>
        <w:t>References</w:t>
      </w:r>
    </w:p>
    <w:p w14:paraId="71060B23" w14:textId="332D64B9" w:rsidR="00026C4D" w:rsidRDefault="00026C4D" w:rsidP="00026C4D">
      <w:pPr>
        <w:ind w:left="360"/>
      </w:pPr>
      <w:r w:rsidRPr="00026C4D">
        <w:t xml:space="preserve">Baltimore Development Corporation. (n.d.). </w:t>
      </w:r>
      <w:r w:rsidRPr="00026C4D">
        <w:rPr>
          <w:i/>
          <w:iCs/>
        </w:rPr>
        <w:t>Enterprise zone and focus area</w:t>
      </w:r>
      <w:r w:rsidRPr="00026C4D">
        <w:t xml:space="preserve">. </w:t>
      </w:r>
      <w:hyperlink r:id="rId5" w:history="1">
        <w:r w:rsidRPr="00026C4D">
          <w:rPr>
            <w:rStyle w:val="Hyperlink"/>
          </w:rPr>
          <w:t>https://www.baltimoredevelopment.com/doing-business/enterprise-zone-and-focus-area</w:t>
        </w:r>
      </w:hyperlink>
    </w:p>
    <w:p w14:paraId="482FC996" w14:textId="26B27395" w:rsidR="005B790A" w:rsidRDefault="005B790A" w:rsidP="00026C4D">
      <w:pPr>
        <w:ind w:left="360"/>
      </w:pPr>
      <w:r w:rsidRPr="005B790A">
        <w:t xml:space="preserve">Maryland Department of Commerce. (2022, July 7). </w:t>
      </w:r>
      <w:r w:rsidRPr="005B790A">
        <w:rPr>
          <w:i/>
          <w:iCs/>
        </w:rPr>
        <w:t>Maryland Commerce approves redesignation of Baltimore City Enterprise Zone, expansion of Cecil County zone</w:t>
      </w:r>
      <w:r w:rsidRPr="005B790A">
        <w:t xml:space="preserve">. </w:t>
      </w:r>
      <w:hyperlink r:id="rId6" w:history="1">
        <w:r w:rsidRPr="005B790A">
          <w:rPr>
            <w:rStyle w:val="Hyperlink"/>
          </w:rPr>
          <w:t>https://commerce.maryland.gov/media/maryland-commerce-approves-redesignation-of-baltimore-city-enterprise-zone-expansion-of-cecil-county-zone</w:t>
        </w:r>
      </w:hyperlink>
    </w:p>
    <w:p w14:paraId="00BDAD1C" w14:textId="77777777" w:rsidR="00EF68E3" w:rsidRDefault="00EF68E3" w:rsidP="00026C4D">
      <w:pPr>
        <w:ind w:left="360"/>
      </w:pPr>
    </w:p>
    <w:p w14:paraId="239C1017" w14:textId="77777777" w:rsidR="00EF68E3" w:rsidRDefault="00EF68E3" w:rsidP="00026C4D">
      <w:pPr>
        <w:pBdr>
          <w:bottom w:val="single" w:sz="6" w:space="1" w:color="auto"/>
        </w:pBdr>
        <w:ind w:left="360"/>
      </w:pPr>
    </w:p>
    <w:p w14:paraId="51E9C042" w14:textId="534C4694" w:rsidR="00EF68E3" w:rsidRDefault="00EF68E3" w:rsidP="00026C4D">
      <w:pPr>
        <w:ind w:left="360"/>
      </w:pPr>
      <w:r>
        <w:t>Not specifically used yet</w:t>
      </w:r>
    </w:p>
    <w:p w14:paraId="4FE7F22D" w14:textId="59DBD56E" w:rsidR="00EF68E3" w:rsidRDefault="00EF68E3" w:rsidP="00026C4D">
      <w:pPr>
        <w:ind w:left="360"/>
      </w:pPr>
      <w:hyperlink r:id="rId7" w:history="1">
        <w:r w:rsidRPr="00715F1D">
          <w:rPr>
            <w:rStyle w:val="Hyperlink"/>
          </w:rPr>
          <w:t>https://www.medamd.com/news/maryland-commerce-designates-redesignates-expands-three-enterprise-zones/</w:t>
        </w:r>
      </w:hyperlink>
      <w:r>
        <w:t xml:space="preserve"> </w:t>
      </w:r>
    </w:p>
    <w:sectPr w:rsidR="00EF68E3" w:rsidSect="00026C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F79"/>
    <w:multiLevelType w:val="hybridMultilevel"/>
    <w:tmpl w:val="96745E78"/>
    <w:lvl w:ilvl="0" w:tplc="8982BC90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F306A"/>
    <w:multiLevelType w:val="hybridMultilevel"/>
    <w:tmpl w:val="171286A2"/>
    <w:lvl w:ilvl="0" w:tplc="2CEA5EE0">
      <w:start w:val="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E3239"/>
    <w:multiLevelType w:val="hybridMultilevel"/>
    <w:tmpl w:val="DDCC73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6E2223"/>
    <w:multiLevelType w:val="hybridMultilevel"/>
    <w:tmpl w:val="987A18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B064D4"/>
    <w:multiLevelType w:val="hybridMultilevel"/>
    <w:tmpl w:val="2BCA55D6"/>
    <w:lvl w:ilvl="0" w:tplc="2CEA5EE0">
      <w:start w:val="8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381DDB"/>
    <w:multiLevelType w:val="multilevel"/>
    <w:tmpl w:val="F2D6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A7866"/>
    <w:multiLevelType w:val="multilevel"/>
    <w:tmpl w:val="590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2569F"/>
    <w:multiLevelType w:val="hybridMultilevel"/>
    <w:tmpl w:val="94AC2098"/>
    <w:lvl w:ilvl="0" w:tplc="66E60C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43C4D"/>
    <w:multiLevelType w:val="hybridMultilevel"/>
    <w:tmpl w:val="06344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8E26B3"/>
    <w:multiLevelType w:val="hybridMultilevel"/>
    <w:tmpl w:val="174874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D59219B"/>
    <w:multiLevelType w:val="multilevel"/>
    <w:tmpl w:val="C88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50007">
    <w:abstractNumId w:val="0"/>
  </w:num>
  <w:num w:numId="2" w16cid:durableId="1968583986">
    <w:abstractNumId w:val="9"/>
  </w:num>
  <w:num w:numId="3" w16cid:durableId="531768422">
    <w:abstractNumId w:val="2"/>
  </w:num>
  <w:num w:numId="4" w16cid:durableId="1814175345">
    <w:abstractNumId w:val="3"/>
  </w:num>
  <w:num w:numId="5" w16cid:durableId="1986886073">
    <w:abstractNumId w:val="8"/>
  </w:num>
  <w:num w:numId="6" w16cid:durableId="1374424605">
    <w:abstractNumId w:val="7"/>
  </w:num>
  <w:num w:numId="7" w16cid:durableId="1555922896">
    <w:abstractNumId w:val="4"/>
  </w:num>
  <w:num w:numId="8" w16cid:durableId="1861580409">
    <w:abstractNumId w:val="10"/>
  </w:num>
  <w:num w:numId="9" w16cid:durableId="605230148">
    <w:abstractNumId w:val="6"/>
  </w:num>
  <w:num w:numId="10" w16cid:durableId="1328749752">
    <w:abstractNumId w:val="1"/>
  </w:num>
  <w:num w:numId="11" w16cid:durableId="1538010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4D"/>
    <w:rsid w:val="00026C4D"/>
    <w:rsid w:val="00106FC7"/>
    <w:rsid w:val="002708DE"/>
    <w:rsid w:val="005B790A"/>
    <w:rsid w:val="006C6F94"/>
    <w:rsid w:val="008E4EE3"/>
    <w:rsid w:val="00E46CB7"/>
    <w:rsid w:val="00E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0513"/>
  <w15:chartTrackingRefBased/>
  <w15:docId w15:val="{880A9F6E-286E-4BBA-8497-FDB7BBAA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4D"/>
  </w:style>
  <w:style w:type="paragraph" w:styleId="Heading1">
    <w:name w:val="heading 1"/>
    <w:basedOn w:val="Normal"/>
    <w:next w:val="Normal"/>
    <w:link w:val="Heading1Char"/>
    <w:uiPriority w:val="9"/>
    <w:qFormat/>
    <w:rsid w:val="0002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6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26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damd.com/news/maryland-commerce-designates-redesignates-expands-three-enterprise-zon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erce.maryland.gov/media/maryland-commerce-approves-redesignation-of-baltimore-city-enterprise-zone-expansion-of-cecil-county-zone" TargetMode="External"/><Relationship Id="rId5" Type="http://schemas.openxmlformats.org/officeDocument/2006/relationships/hyperlink" Target="https://www.baltimoredevelopment.com/doing-business/enterprise-zone-and-focus-are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Orsini</dc:creator>
  <cp:keywords/>
  <dc:description/>
  <cp:lastModifiedBy>Nicholas Orsini</cp:lastModifiedBy>
  <cp:revision>2</cp:revision>
  <dcterms:created xsi:type="dcterms:W3CDTF">2026-03-31T01:59:00Z</dcterms:created>
  <dcterms:modified xsi:type="dcterms:W3CDTF">2026-03-31T03:08:00Z</dcterms:modified>
</cp:coreProperties>
</file>