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Statistical</w:t>
      </w:r>
      <w:r>
        <w:t xml:space="preserve"> </w:t>
      </w:r>
      <w:r>
        <w:t xml:space="preserve">Evaluation</w:t>
      </w:r>
      <w:r>
        <w:t xml:space="preserve"> </w:t>
      </w:r>
      <w:r>
        <w:t xml:space="preserve">of</w:t>
      </w:r>
      <w:r>
        <w:t xml:space="preserve"> </w:t>
      </w:r>
      <w:r>
        <w:t xml:space="preserve">COVID-19</w:t>
      </w:r>
      <w:r>
        <w:t xml:space="preserve"> </w:t>
      </w:r>
      <w:r>
        <w:t xml:space="preserve">Surveillance</w:t>
      </w:r>
      <w:r>
        <w:t xml:space="preserve"> </w:t>
      </w:r>
      <w:r>
        <w:t xml:space="preserve">in</w:t>
      </w:r>
      <w:r>
        <w:t xml:space="preserve"> </w:t>
      </w:r>
      <w:r>
        <w:t xml:space="preserve">the</w:t>
      </w:r>
      <w:r>
        <w:t xml:space="preserve"> </w:t>
      </w:r>
      <w:r>
        <w:t xml:space="preserve">Norwegian</w:t>
      </w:r>
      <w:r>
        <w:t xml:space="preserve"> </w:t>
      </w:r>
      <w:r>
        <w:t xml:space="preserve">Syndromic</w:t>
      </w:r>
      <w:r>
        <w:t xml:space="preserve"> </w:t>
      </w:r>
      <w:r>
        <w:t xml:space="preserve">Surveillance</w:t>
      </w:r>
      <w:r>
        <w:t xml:space="preserve"> </w:t>
      </w:r>
      <w:r>
        <w:t xml:space="preserve">System</w:t>
      </w:r>
      <w:r>
        <w:t xml:space="preserve"> </w:t>
      </w:r>
      <w:r>
        <w:t xml:space="preserve">(NorSySS)</w:t>
      </w:r>
    </w:p>
    <w:bookmarkStart w:id="20" w:name="introduction"/>
    <w:p>
      <w:pPr>
        <w:pStyle w:val="Heading2"/>
      </w:pPr>
      <w:r>
        <w:t xml:space="preserve">1 Introduction</w:t>
      </w:r>
    </w:p>
    <w:p>
      <w:pPr>
        <w:pStyle w:val="FirstParagraph"/>
      </w:pPr>
      <w:r>
        <w:t xml:space="preserve">The Norwegian Syndromic Surveillance System (NorSySS) is a vital public health surveillance system designed to detect outbreaks of infectious diseases and provide early warning for implementation of necessary control measures.</w:t>
      </w:r>
      <w:r>
        <w:t xml:space="preserve">[1]</w:t>
      </w:r>
      <w:r>
        <w:t xml:space="preserve"> </w:t>
      </w:r>
      <w:r>
        <w:t xml:space="preserve">As of the time of publishing, NorSySS surveils 87 ICPC-2 code combinations on a daily basis, at the national, county, and municipality level. The data</w:t>
      </w:r>
    </w:p>
    <w:p>
      <w:pPr>
        <w:pStyle w:val="BodyText"/>
      </w:pPr>
      <w:r>
        <w:t xml:space="preserve">https://link.springer.com/article/10.3758/s13428-015-0611-2</w:t>
      </w:r>
    </w:p>
    <w:bookmarkEnd w:id="20"/>
    <w:bookmarkStart w:id="24" w:name="methods"/>
    <w:p>
      <w:pPr>
        <w:pStyle w:val="Heading2"/>
      </w:pPr>
      <w:r>
        <w:t xml:space="preserve">2 Methods</w:t>
      </w:r>
    </w:p>
    <w:p>
      <w:pPr>
        <w:pStyle w:val="FirstParagraph"/>
      </w:pPr>
      <w:r>
        <w:t xml:space="preserve">We adapted the guidelines for evaluating public health surveillance systems as provided by the Centers for Disease Control and Prevention.</w:t>
      </w:r>
      <w:r>
        <w:t xml:space="preserve">[2]</w:t>
      </w:r>
      <w:r>
        <w:t xml:space="preserve"> </w:t>
      </w:r>
      <w:r>
        <w:t xml:space="preserve">The guidelines were shortened to focus on attributes that were most relevant to a statistical evaluation.</w:t>
      </w:r>
    </w:p>
    <w:p>
      <w:pPr>
        <w:pStyle w:val="TableCaption"/>
      </w:pPr>
      <w:r>
        <w:t xml:space="preserve">Attributes relevant to the statistical evaluation of COVID-19 surveillance in NorSySS.</w:t>
      </w:r>
      <w:r>
        <w:t xml:space="preserve">[2]</w:t>
      </w:r>
    </w:p>
    <w:tbl>
      <w:tblPr>
        <w:tblStyle w:val="Table"/>
        <w:tblW w:type="pct" w:w="5000"/>
        <w:tblLook w:firstRow="1" w:lastRow="0" w:firstColumn="0" w:lastColumn="0" w:noHBand="0" w:noVBand="0" w:val="0020"/>
        <w:jc w:val="start"/>
        <w:tblCaption w:val="Attributes relevant to the statistical evaluation of COVID-19 surveillance in NorSySS.[2]"/>
      </w:tblPr>
      <w:tblGrid>
        <w:gridCol w:w="1309"/>
        <w:gridCol w:w="6610"/>
      </w:tblGrid>
      <w:tr>
        <w:trPr>
          <w:tblHeader w:val="true"/>
        </w:trPr>
        <w:tc>
          <w:tcPr/>
          <w:p>
            <w:pPr>
              <w:pStyle w:val="Compact"/>
              <w:jc w:val="left"/>
            </w:pPr>
            <w:r>
              <w:t xml:space="preserve">Attribute</w:t>
            </w:r>
          </w:p>
        </w:tc>
        <w:tc>
          <w:tcPr/>
          <w:p>
            <w:pPr>
              <w:pStyle w:val="Compact"/>
              <w:jc w:val="left"/>
            </w:pPr>
            <w:r>
              <w:t xml:space="preserve">Definition</w:t>
            </w:r>
          </w:p>
        </w:tc>
      </w:tr>
      <w:tr>
        <w:tc>
          <w:tcPr/>
          <w:p>
            <w:pPr>
              <w:pStyle w:val="Compact"/>
              <w:jc w:val="left"/>
            </w:pPr>
            <w:r>
              <w:t xml:space="preserve">Representativeness</w:t>
            </w:r>
          </w:p>
        </w:tc>
        <w:tc>
          <w:tcPr/>
          <w:p>
            <w:pPr>
              <w:pStyle w:val="Compact"/>
              <w:jc w:val="left"/>
            </w:pPr>
            <w:r>
              <w:t xml:space="preserve">Accurately describing the occurrence of a health-related event over time.</w:t>
            </w:r>
          </w:p>
        </w:tc>
      </w:tr>
      <w:tr>
        <w:tc>
          <w:tcPr/>
          <w:p>
            <w:pPr>
              <w:pStyle w:val="Compact"/>
              <w:jc w:val="left"/>
            </w:pPr>
            <w:r>
              <w:t xml:space="preserve">Sensitivity</w:t>
            </w:r>
          </w:p>
        </w:tc>
        <w:tc>
          <w:tcPr/>
          <w:p>
            <w:pPr>
              <w:pStyle w:val="Compact"/>
              <w:jc w:val="left"/>
            </w:pPr>
            <w:r>
              <w:t xml:space="preserve">Ability to detect outbreaks, including the ability to monitor changes in the number of cases over time.</w:t>
            </w:r>
          </w:p>
        </w:tc>
      </w:tr>
      <w:tr>
        <w:tc>
          <w:tcPr/>
          <w:p>
            <w:pPr>
              <w:pStyle w:val="Compact"/>
            </w:pPr>
          </w:p>
        </w:tc>
        <w:tc>
          <w:tcPr/>
          <w:p>
            <w:pPr>
              <w:pStyle w:val="Compact"/>
            </w:pPr>
          </w:p>
        </w:tc>
      </w:tr>
      <w:tr>
        <w:tc>
          <w:tcPr/>
          <w:p>
            <w:pPr>
              <w:pStyle w:val="Compact"/>
              <w:jc w:val="left"/>
            </w:pPr>
            <w:r>
              <w:t xml:space="preserve">Timeliness</w:t>
            </w:r>
          </w:p>
        </w:tc>
        <w:tc>
          <w:tcPr/>
          <w:p>
            <w:pPr>
              <w:pStyle w:val="Compact"/>
              <w:jc w:val="left"/>
            </w:pPr>
            <w:r>
              <w:t xml:space="preserve">The speed between steps in a public health surveillance system.</w:t>
            </w:r>
          </w:p>
        </w:tc>
      </w:tr>
    </w:tbl>
    <w:bookmarkStart w:id="21" w:name="representativeness"/>
    <w:p>
      <w:pPr>
        <w:pStyle w:val="Heading3"/>
      </w:pPr>
      <w:r>
        <w:t xml:space="preserve">2.1 Representativeness</w:t>
      </w:r>
    </w:p>
    <w:bookmarkEnd w:id="21"/>
    <w:bookmarkStart w:id="22" w:name="sensitivity"/>
    <w:p>
      <w:pPr>
        <w:pStyle w:val="Heading3"/>
      </w:pPr>
      <w:r>
        <w:t xml:space="preserve">2.2 Sensitivity</w:t>
      </w:r>
    </w:p>
    <w:bookmarkEnd w:id="22"/>
    <w:bookmarkStart w:id="23" w:name="timeliness"/>
    <w:p>
      <w:pPr>
        <w:pStyle w:val="Heading3"/>
      </w:pPr>
      <w:r>
        <w:t xml:space="preserve">2.3 Timeliness</w:t>
      </w:r>
    </w:p>
    <w:bookmarkEnd w:id="23"/>
    <w:bookmarkEnd w:id="24"/>
    <w:bookmarkStart w:id="43" w:name="results"/>
    <w:p>
      <w:pPr>
        <w:pStyle w:val="Heading2"/>
      </w:pPr>
      <w:r>
        <w:t xml:space="preserve">3 Results</w:t>
      </w:r>
    </w:p>
    <w:p>
      <w:pPr>
        <w:pStyle w:val="TableCaption"/>
      </w:pPr>
      <w:r>
        <w:t xml:space="preserve">Purpose and operation of COVID-19 surveillance in NorSySS.</w:t>
      </w:r>
    </w:p>
    <w:tbl>
      <w:tblPr>
        <w:tblStyle w:val="Table"/>
        <w:tblW w:type="pct" w:w="5000"/>
        <w:tblLook w:firstRow="1" w:lastRow="0" w:firstColumn="0" w:lastColumn="0" w:noHBand="0" w:noVBand="0" w:val="0020"/>
        <w:jc w:val="start"/>
        <w:tblCaption w:val="Purpose and operation of COVID-19 surveillance in NorSySS."/>
      </w:tblPr>
      <w:tblGrid>
        <w:gridCol w:w="930"/>
        <w:gridCol w:w="6989"/>
      </w:tblGrid>
      <w:tr>
        <w:trPr>
          <w:tblHeader w:val="true"/>
        </w:trPr>
        <w:tc>
          <w:tcPr/>
          <w:p>
            <w:pPr>
              <w:pStyle w:val="Compact"/>
              <w:jc w:val="left"/>
            </w:pPr>
            <w:r>
              <w:t xml:space="preserve">Indicator</w:t>
            </w:r>
          </w:p>
        </w:tc>
        <w:tc>
          <w:tcPr/>
          <w:p>
            <w:pPr>
              <w:pStyle w:val="Compact"/>
              <w:jc w:val="left"/>
            </w:pPr>
            <w:r>
              <w:t xml:space="preserve">Value</w:t>
            </w:r>
          </w:p>
        </w:tc>
      </w:tr>
      <w:tr>
        <w:tc>
          <w:tcPr/>
          <w:p>
            <w:pPr>
              <w:pStyle w:val="Compact"/>
              <w:jc w:val="left"/>
            </w:pPr>
            <w:r>
              <w:t xml:space="preserve">Purpose and objectives</w:t>
            </w:r>
          </w:p>
        </w:tc>
        <w:tc>
          <w:tcPr/>
          <w:p>
            <w:pPr>
              <w:numPr>
                <w:ilvl w:val="0"/>
                <w:numId w:val="1001"/>
              </w:numPr>
              <w:jc w:val="left"/>
            </w:pPr>
            <w:r>
              <w:t xml:space="preserve">Monitor trends of COVID-19.</w:t>
            </w:r>
          </w:p>
          <w:p>
            <w:pPr>
              <w:numPr>
                <w:ilvl w:val="0"/>
                <w:numId w:val="1001"/>
              </w:numPr>
              <w:jc w:val="left"/>
            </w:pPr>
            <w:r>
              <w:t xml:space="preserve">Detect outbreaks of COVID-19</w:t>
            </w:r>
          </w:p>
          <w:p>
            <w:pPr>
              <w:numPr>
                <w:ilvl w:val="0"/>
                <w:numId w:val="1001"/>
              </w:numPr>
              <w:jc w:val="left"/>
            </w:pPr>
            <w:r>
              <w:t xml:space="preserve">Provide early warning for implementation of necessary control measures.</w:t>
            </w:r>
          </w:p>
        </w:tc>
      </w:tr>
      <w:tr>
        <w:tc>
          <w:tcPr/>
          <w:p>
            <w:pPr>
              <w:pStyle w:val="Compact"/>
              <w:jc w:val="left"/>
            </w:pPr>
            <w:r>
              <w:t xml:space="preserve">Health-related event under surveillance</w:t>
            </w:r>
          </w:p>
        </w:tc>
        <w:tc>
          <w:tcPr/>
          <w:p>
            <w:pPr>
              <w:jc w:val="left"/>
            </w:pPr>
            <w:r>
              <w:t xml:space="preserve">COVID-19</w:t>
            </w:r>
          </w:p>
          <w:p>
            <w:pPr>
              <w:numPr>
                <w:ilvl w:val="0"/>
                <w:numId w:val="1002"/>
              </w:numPr>
              <w:jc w:val="left"/>
            </w:pPr>
            <w:r>
              <w:t xml:space="preserve">R991: Suspected/probably COVID-19. A person who meets the clinical criteria: acute respiratory tract infection and one or more of the following symptoms: fever, cough, shortness of breath, loss of sense of smell/taste, or who is considered by a doctor to have suspected COVID-19.</w:t>
            </w:r>
            <w:r>
              <w:t xml:space="preserve">[3]</w:t>
            </w:r>
          </w:p>
          <w:p>
            <w:pPr>
              <w:numPr>
                <w:ilvl w:val="0"/>
                <w:numId w:val="1002"/>
              </w:numPr>
              <w:jc w:val="left"/>
            </w:pPr>
            <w:r>
              <w:t xml:space="preserve">R992: Confirmed COVID-19. A person with coronavirus (SARS-CoV-2) confirmed by RT-PCR test, other nucleic acid amplification test or rapid antigen test (rapid immunoassay).</w:t>
            </w:r>
            <w:r>
              <w:t xml:space="preserve">[3]</w:t>
            </w:r>
          </w:p>
        </w:tc>
      </w:tr>
      <w:tr>
        <w:tc>
          <w:tcPr/>
          <w:p>
            <w:pPr>
              <w:pStyle w:val="Compact"/>
              <w:jc w:val="left"/>
            </w:pPr>
            <w:r>
              <w:t xml:space="preserve">Population under surveillance</w:t>
            </w:r>
          </w:p>
        </w:tc>
        <w:tc>
          <w:tcPr/>
          <w:p>
            <w:pPr>
              <w:pStyle w:val="Compact"/>
              <w:jc w:val="left"/>
            </w:pPr>
            <w:r>
              <w:t xml:space="preserve">All people in Norway who are eligible for treatment by state-sponsored general practitioners or out-of-hours primary care facilities.</w:t>
            </w:r>
          </w:p>
        </w:tc>
      </w:tr>
      <w:tr>
        <w:tc>
          <w:tcPr/>
          <w:p>
            <w:pPr>
              <w:pStyle w:val="Compact"/>
              <w:jc w:val="left"/>
            </w:pPr>
            <w:r>
              <w:t xml:space="preserve">Period of time of data collection</w:t>
            </w:r>
          </w:p>
        </w:tc>
        <w:tc>
          <w:tcPr/>
          <w:p>
            <w:pPr>
              <w:numPr>
                <w:ilvl w:val="0"/>
                <w:numId w:val="1003"/>
              </w:numPr>
              <w:jc w:val="left"/>
            </w:pPr>
            <w:r>
              <w:t xml:space="preserve">R991: 2020-03-05 until present day.</w:t>
            </w:r>
            <w:r>
              <w:t xml:space="preserve">[3]</w:t>
            </w:r>
          </w:p>
          <w:p>
            <w:pPr>
              <w:numPr>
                <w:ilvl w:val="0"/>
                <w:numId w:val="1003"/>
              </w:numPr>
              <w:jc w:val="left"/>
            </w:pPr>
            <w:r>
              <w:t xml:space="preserve">R992: 2020-04-30 until present day.</w:t>
            </w:r>
            <w:r>
              <w:t xml:space="preserve">[3]</w:t>
            </w:r>
          </w:p>
        </w:tc>
      </w:tr>
      <w:tr>
        <w:tc>
          <w:tcPr/>
          <w:p>
            <w:pPr>
              <w:pStyle w:val="Compact"/>
              <w:jc w:val="left"/>
            </w:pPr>
            <w:r>
              <w:t xml:space="preserve">What data are collected</w:t>
            </w:r>
          </w:p>
        </w:tc>
        <w:tc>
          <w:tcPr/>
          <w:p>
            <w:pPr>
              <w:pStyle w:val="Compact"/>
              <w:jc w:val="left"/>
            </w:pPr>
            <w:r>
              <w:t xml:space="preserve">Number of consultations performed by state-sponsored general practitioners or out-of-hours primary care facilities corresponding to particular ICPC-2 codes.</w:t>
            </w:r>
          </w:p>
        </w:tc>
      </w:tr>
      <w:tr>
        <w:tc>
          <w:tcPr/>
          <w:p>
            <w:pPr>
              <w:pStyle w:val="Compact"/>
              <w:jc w:val="left"/>
            </w:pPr>
            <w:r>
              <w:t xml:space="preserve">Reporting sources of data for the system</w:t>
            </w:r>
          </w:p>
        </w:tc>
        <w:tc>
          <w:tcPr/>
          <w:p>
            <w:pPr>
              <w:pStyle w:val="Compact"/>
              <w:jc w:val="left"/>
            </w:pPr>
            <w:r>
              <w:t xml:space="preserve">KUHR (Control and Payment of Health Reimbursements), which is a system that manages reimbursement claims from healthcare providers and institutions to the state (HELFO) in Norway. The system is owned by the Norwegian Directorate of Health. KUHR stores information about each patient’s contact with a healthcare provider.</w:t>
            </w:r>
          </w:p>
        </w:tc>
      </w:tr>
      <w:tr>
        <w:tc>
          <w:tcPr/>
          <w:p>
            <w:pPr>
              <w:pStyle w:val="Compact"/>
              <w:jc w:val="left"/>
            </w:pPr>
            <w:r>
              <w:t xml:space="preserve">Systems data analyzed</w:t>
            </w:r>
          </w:p>
        </w:tc>
        <w:tc>
          <w:tcPr/>
          <w:p>
            <w:pPr>
              <w:pStyle w:val="Compact"/>
              <w:jc w:val="left"/>
            </w:pPr>
            <w:r>
              <w:t xml:space="preserve">Using Surveillance Core 9 (</w:t>
            </w:r>
            <w:r>
              <w:t xml:space="preserve">“</w:t>
            </w:r>
            <w:r>
              <w:t xml:space="preserve">sc9</w:t>
            </w:r>
            <w:r>
              <w:t xml:space="preserve">”</w:t>
            </w:r>
            <w:r>
              <w:t xml:space="preserve">), a free and open-source framework for real-time analysis and disease surveillance.</w:t>
            </w:r>
            <w:r>
              <w:t xml:space="preserve">[4]</w:t>
            </w:r>
          </w:p>
        </w:tc>
      </w:tr>
    </w:tbl>
    <w:bookmarkStart w:id="34" w:name="representativeness-1"/>
    <w:p>
      <w:pPr>
        <w:pStyle w:val="Heading3"/>
      </w:pPr>
      <w:r>
        <w:t xml:space="preserve">3.1 Representativeness</w:t>
      </w:r>
    </w:p>
    <w:p>
      <w:pPr>
        <w:pStyle w:val="FirstParagraph"/>
      </w:pPr>
      <w:r>
        <w:t xml:space="preserve">Definition: Timeliness reflects the speed between steps in a pub</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26" name="Picture"/>
                  <a:graphic>
                    <a:graphicData uri="http://schemas.openxmlformats.org/drawingml/2006/picture">
                      <pic:pic>
                        <pic:nvPicPr>
                          <pic:cNvPr descr="../results/2023-06-13/plot1.png" id="27"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Partial autocorrelation plots (PACF) of four time series (NorSySS R991+R992 fe, new hospital admissions, new ICU admissions, new deaths) for all of Norway.</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09024" cy="7507866"/>
                  <wp:effectExtent b="0" l="0" r="0" t="0"/>
                  <wp:docPr descr="" title="" id="29" name="Picture"/>
                  <a:graphic>
                    <a:graphicData uri="http://schemas.openxmlformats.org/drawingml/2006/picture">
                      <pic:pic>
                        <pic:nvPicPr>
                          <pic:cNvPr descr="../results/2023-06-13/plot2.png" id="30" name="Picture"/>
                          <pic:cNvPicPr>
                            <a:picLocks noChangeArrowheads="1" noChangeAspect="1"/>
                          </pic:cNvPicPr>
                        </pic:nvPicPr>
                        <pic:blipFill>
                          <a:blip r:embed="rId28"/>
                          <a:stretch>
                            <a:fillRect/>
                          </a:stretch>
                        </pic:blipFill>
                        <pic:spPr bwMode="auto">
                          <a:xfrm>
                            <a:off x="0" y="0"/>
                            <a:ext cx="5309024" cy="7507866"/>
                          </a:xfrm>
                          <a:prstGeom prst="rect">
                            <a:avLst/>
                          </a:prstGeom>
                          <a:noFill/>
                          <a:ln w="9525">
                            <a:noFill/>
                            <a:headEnd/>
                            <a:tailEnd/>
                          </a:ln>
                        </pic:spPr>
                      </pic:pic>
                    </a:graphicData>
                  </a:graphic>
                </wp:inline>
              </w:drawing>
            </w:r>
          </w:p>
          <w:p>
            <w:pPr>
              <w:jc w:val="center"/>
            </w:pPr>
            <w:pPr>
              <w:jc w:val="start"/>
              <w:spacing w:before="200"/>
              <w:pStyle w:val="ImageCaption"/>
            </w:pPr>
            <w:r>
              <w:t xml:space="preserve">Cross-correlation coefficients after pre-whitening between various NorSySS ICPC-2/tariff codes and hard endpoints between 2020-09 and 2023-20 for all of Norway.</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09024" cy="7507866"/>
                  <wp:effectExtent b="0" l="0" r="0" t="0"/>
                  <wp:docPr descr="" title="" id="32" name="Picture"/>
                  <a:graphic>
                    <a:graphicData uri="http://schemas.openxmlformats.org/drawingml/2006/picture">
                      <pic:pic>
                        <pic:nvPicPr>
                          <pic:cNvPr descr="../results/2023-06-13/plot3.png" id="33" name="Picture"/>
                          <pic:cNvPicPr>
                            <a:picLocks noChangeArrowheads="1" noChangeAspect="1"/>
                          </pic:cNvPicPr>
                        </pic:nvPicPr>
                        <pic:blipFill>
                          <a:blip r:embed="rId31"/>
                          <a:stretch>
                            <a:fillRect/>
                          </a:stretch>
                        </pic:blipFill>
                        <pic:spPr bwMode="auto">
                          <a:xfrm>
                            <a:off x="0" y="0"/>
                            <a:ext cx="5309024" cy="7507866"/>
                          </a:xfrm>
                          <a:prstGeom prst="rect">
                            <a:avLst/>
                          </a:prstGeom>
                          <a:noFill/>
                          <a:ln w="9525">
                            <a:noFill/>
                            <a:headEnd/>
                            <a:tailEnd/>
                          </a:ln>
                        </pic:spPr>
                      </pic:pic>
                    </a:graphicData>
                  </a:graphic>
                </wp:inline>
              </w:drawing>
            </w:r>
          </w:p>
          <w:p>
            <w:pPr>
              <w:jc w:val="center"/>
            </w:pPr>
            <w:pPr>
              <w:jc w:val="start"/>
              <w:spacing w:before="200"/>
              <w:pStyle w:val="ImageCaption"/>
            </w:pPr>
            <w:r>
              <w:t xml:space="preserve">Cross-correlation coefficients after pre-whitening between NorSySS (R991+R992, fe) and hard endpoints over various time-periods (Wuhan 2020-09 to 2021-06, Alpha 2021-07 to 2021-26, Delta 2021-27 to 2021-51, Omicron 2021-52 to 2023-20, No control 2022-07 to 2023-20, All 2020-09 to 2023-20) for all of Norway.</w:t>
            </w:r>
          </w:p>
        </w:tc>
      </w:tr>
    </w:tbl>
    <w:bookmarkEnd w:id="34"/>
    <w:bookmarkStart w:id="38" w:name="sensitivity-1"/>
    <w:p>
      <w:pPr>
        <w:pStyle w:val="Heading3"/>
      </w:pPr>
      <w:r>
        <w:t xml:space="preserve">3.2 Sensitivity</w:t>
      </w:r>
    </w:p>
    <w:p>
      <w:pPr>
        <w:pStyle w:val="FirstParagraph"/>
      </w:pPr>
      <w:r>
        <w:drawing>
          <wp:inline>
            <wp:extent cx="5309024" cy="7507866"/>
            <wp:effectExtent b="0" l="0" r="0" t="0"/>
            <wp:docPr descr="" title="" id="36" name="Picture"/>
            <a:graphic>
              <a:graphicData uri="http://schemas.openxmlformats.org/drawingml/2006/picture">
                <pic:pic>
                  <pic:nvPicPr>
                    <pic:cNvPr descr="../results/2023-06-13/plot4.png" id="37" name="Picture"/>
                    <pic:cNvPicPr>
                      <a:picLocks noChangeArrowheads="1" noChangeAspect="1"/>
                    </pic:cNvPicPr>
                  </pic:nvPicPr>
                  <pic:blipFill>
                    <a:blip r:embed="rId35"/>
                    <a:stretch>
                      <a:fillRect/>
                    </a:stretch>
                  </pic:blipFill>
                  <pic:spPr bwMode="auto">
                    <a:xfrm>
                      <a:off x="0" y="0"/>
                      <a:ext cx="5309024" cy="7507866"/>
                    </a:xfrm>
                    <a:prstGeom prst="rect">
                      <a:avLst/>
                    </a:prstGeom>
                    <a:noFill/>
                    <a:ln w="9525">
                      <a:noFill/>
                      <a:headEnd/>
                      <a:tailEnd/>
                    </a:ln>
                  </pic:spPr>
                </pic:pic>
              </a:graphicData>
            </a:graphic>
          </wp:inline>
        </w:drawing>
      </w:r>
    </w:p>
    <w:bookmarkEnd w:id="38"/>
    <w:bookmarkStart w:id="42" w:name="timeliness-1"/>
    <w:p>
      <w:pPr>
        <w:pStyle w:val="Heading3"/>
      </w:pPr>
      <w:r>
        <w:t xml:space="preserve">3.3 Timeliness</w:t>
      </w:r>
    </w:p>
    <w:p>
      <w:pPr>
        <w:pStyle w:val="FirstParagraph"/>
      </w:pPr>
      <w:r>
        <w:drawing>
          <wp:inline>
            <wp:extent cx="4620126" cy="3696101"/>
            <wp:effectExtent b="0" l="0" r="0" t="0"/>
            <wp:docPr descr="" title="" id="40" name="Picture"/>
            <a:graphic>
              <a:graphicData uri="http://schemas.openxmlformats.org/drawingml/2006/picture">
                <pic:pic>
                  <pic:nvPicPr>
                    <pic:cNvPr descr="quarto_files/figure-docx/unnamed-chunk-7-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End w:id="43"/>
    <w:bookmarkStart w:id="44" w:name="discussion"/>
    <w:p>
      <w:pPr>
        <w:pStyle w:val="Heading2"/>
      </w:pPr>
      <w:r>
        <w:t xml:space="preserve">4 Discussion</w:t>
      </w:r>
    </w:p>
    <w:bookmarkEnd w:id="44"/>
    <w:bookmarkStart w:id="50" w:name="conclusions"/>
    <w:p>
      <w:pPr>
        <w:pStyle w:val="Heading2"/>
      </w:pPr>
      <w:r>
        <w:t xml:space="preserve">5 Conclusions</w:t>
      </w:r>
    </w:p>
    <w:bookmarkStart w:id="49" w:name="refs"/>
    <w:bookmarkStart w:id="45" w:name="ref-swanson2022one"/>
    <w:p>
      <w:pPr>
        <w:pStyle w:val="Bibliography"/>
      </w:pPr>
      <w:r>
        <w:t xml:space="preserve">1. Swanson D, Koren C, Hopp P, Jonsson ME, Rø GI, White RA, et al. A one health real-time surveillance system for nowcasting campylobacter gastrointestinal illness outbreaks, norway, week 30 2010 to week 11 2022. Eurosurveillance. 2022;27:2101121.</w:t>
      </w:r>
    </w:p>
    <w:bookmarkEnd w:id="45"/>
    <w:bookmarkStart w:id="46" w:name="ref-guidelines2001"/>
    <w:p>
      <w:pPr>
        <w:pStyle w:val="Bibliography"/>
      </w:pPr>
      <w:r>
        <w:t xml:space="preserve">2. Centers for Disease Control and Preventation. Updated guidelines for evaluating public health surveillance systems: Recommendations from the guidelines working group. MMWR. 2001;50.</w:t>
      </w:r>
    </w:p>
    <w:bookmarkEnd w:id="46"/>
    <w:bookmarkStart w:id="47" w:name="ref-icpc2covid"/>
    <w:p>
      <w:pPr>
        <w:pStyle w:val="Bibliography"/>
      </w:pPr>
      <w:r>
        <w:t xml:space="preserve">3. Direktoratet for e-helse. Endringsdokument for norsk utgave av ICPC-2 gjeldende fra 1/1-2020 til 31/12-2020. 2021.</w:t>
      </w:r>
    </w:p>
    <w:bookmarkEnd w:id="47"/>
    <w:bookmarkStart w:id="48" w:name="ref-sc9"/>
    <w:p>
      <w:pPr>
        <w:pStyle w:val="Bibliography"/>
      </w:pPr>
      <w:r>
        <w:t xml:space="preserve">4. White RA. sc9: A framework for real-time analysis and disease surveillance. 2023.</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Statistical Evaluation of COVID-19 Surveillance in the Norwegian Syndromic Surveillance System (NorSySS)</dc:title>
  <dc:creator/>
  <cp:keywords/>
  <dcterms:created xsi:type="dcterms:W3CDTF">2023-06-13T08:31:57Z</dcterms:created>
  <dcterms:modified xsi:type="dcterms:W3CDTF">2023-06-13T08:31:57Z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biomed-central.csl</vt:lpwstr>
  </property>
  <property fmtid="{D5CDD505-2E9C-101B-9397-08002B2CF9AE}" pid="5" name="editor_option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