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2888AA">
      <w:pPr>
        <w:pStyle w:val="5"/>
        <w:tabs>
          <w:tab w:val="left" w:pos="3969"/>
          <w:tab w:val="clear" w:pos="4320"/>
          <w:tab w:val="clear" w:pos="8640"/>
        </w:tabs>
        <w:rPr>
          <w:rFonts w:hint="eastAsia" w:ascii="宋体" w:hAnsi="宋体" w:eastAsia="宋体"/>
          <w:sz w:val="40"/>
          <w:szCs w:val="40"/>
          <w:lang w:eastAsia="zh-CN"/>
        </w:rPr>
      </w:pPr>
      <w:bookmarkStart w:id="1" w:name="_GoBack"/>
      <w:bookmarkEnd w:id="1"/>
      <w:r>
        <w:rPr>
          <w:rFonts w:hint="default"/>
          <w:b/>
          <w:bCs/>
          <w:color w:val="auto"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5803265</wp:posOffset>
                </wp:positionH>
                <wp:positionV relativeFrom="paragraph">
                  <wp:posOffset>-186055</wp:posOffset>
                </wp:positionV>
                <wp:extent cx="848360" cy="1163955"/>
                <wp:effectExtent l="0" t="0" r="8890" b="171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360" cy="11639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 w14:paraId="789F1B57"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证件照</w:t>
                            </w:r>
                          </w:p>
                          <w:p w14:paraId="42F6E104"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位置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6.95pt;margin-top:-14.65pt;height:91.65pt;width:66.8pt;z-index:251663360;mso-width-relative:page;mso-height-relative:page;" fillcolor="#FFFF00" filled="t" stroked="f" coordsize="21600,21600" o:gfxdata="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Svk5S2gAAAAwBAAAPAAAAAAAAAAEAIAAAACIAAABk&#10;cnMvZG93bnJldi54bWxQSwECFAAUAAAACACHTuJAUKyZqMsBAACBAwAADgAAAAAAAAABACAAAAAp&#10;AQAAZHJzL2Uyb0RvYy54bWxQSwUGAAAAAAYABgBZAQAAZgUAAAAA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 w14:paraId="789F1B57">
                      <w:pPr>
                        <w:ind w:left="0" w:leftChars="0" w:firstLine="0" w:firstLineChars="0"/>
                        <w:jc w:val="center"/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证件照</w:t>
                      </w:r>
                    </w:p>
                    <w:p w14:paraId="42F6E104"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位置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7096125</wp:posOffset>
                </wp:positionH>
                <wp:positionV relativeFrom="paragraph">
                  <wp:posOffset>-457200</wp:posOffset>
                </wp:positionV>
                <wp:extent cx="228600" cy="98393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839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8.75pt;margin-top:-36pt;height:774.75pt;width:18pt;z-index:251662336;v-text-anchor:middle;mso-width-relative:page;mso-height-relative:page;" fillcolor="#4F81BD [3204]" filled="t" stroked="t" coordsize="21600,21600" o:gfxdata="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8hyq22AAAAA4BAAAPAAAAAAAAAAEAIAAAACIAAABkcnMvZG93bnJldi54bWxQSwECFAAUAAAA&#10;CACHTuJAxw3QTWACAADdBAAADgAAAAAAAAABACAAAAAnAQAAZHJzL2Uyb0RvYy54bWxQSwUGAAAA&#10;AAYABgBZAQAA+QUAAAAA&#10;">
                <v:fill on="t" focussize="0,0"/>
                <v:stroke weight="2pt" color="#4F81BD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-457200</wp:posOffset>
                </wp:positionV>
                <wp:extent cx="228600" cy="983932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839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25pt;margin-top:-36pt;height:774.75pt;width:18pt;z-index:251661312;v-text-anchor:middle;mso-width-relative:page;mso-height-relative:page;" fillcolor="#4F81BD [3204]" filled="t" stroked="t" coordsize="21600,21600" o:gfxdata="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xNa//2QAAAAwBAAAPAAAAAAAAAAEAIAAAACIAAABkcnMvZG93bnJldi54bWxQSwECFAAUAAAA&#10;CACHTuJAn1FGDF8CAADdBAAADgAAAAAAAAABACAAAAAoAQAAZHJzL2Uyb0RvYy54bWxQSwUGAAAA&#10;AAYABgBZAQAA+QUAAAAA&#10;">
                <v:fill on="t" focussize="0,0"/>
                <v:stroke weight="2pt" color="#4F81BD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-457200</wp:posOffset>
                </wp:positionV>
                <wp:extent cx="7820025" cy="1905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1905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pt;margin-top:-36pt;height:15pt;width:615.75pt;z-index:251659264;v-text-anchor:middle;mso-width-relative:page;mso-height-relative:page;" fillcolor="#4F81BD [3204]" filled="t" stroked="t" coordsize="21600,21600" o:gfxdata="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gyBgcdcAAAAMAQAADwAAAAAAAAABACAAAAAiAAAAZHJzL2Rvd25yZXYueG1sUEsBAhQAFAAAAAgA&#10;h07iQDxjEfhfAgAA3QQAAA4AAAAAAAAAAQAgAAAAJgEAAGRycy9lMm9Eb2MueG1sUEsFBgAAAAAG&#10;AAYAWQEAAPcFAAAAAA==&#10;">
                <v:fill on="t" focussize="0,0"/>
                <v:stroke weight="2pt" color="#4F81BD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/>
          <w:sz w:val="48"/>
          <w:szCs w:val="48"/>
        </w:rPr>
        <w:tab/>
      </w:r>
      <w:r>
        <w:rPr>
          <w:rFonts w:hint="eastAsia" w:ascii="宋体" w:hAnsi="宋体"/>
          <w:sz w:val="36"/>
          <w:szCs w:val="36"/>
          <w:lang w:val="en-US" w:eastAsia="zh-CN"/>
        </w:rPr>
        <w:t>姓名</w:t>
      </w:r>
    </w:p>
    <w:p w14:paraId="1831098C">
      <w:pPr>
        <w:pStyle w:val="5"/>
        <w:tabs>
          <w:tab w:val="left" w:pos="3969"/>
          <w:tab w:val="left" w:pos="6663"/>
          <w:tab w:val="clear" w:pos="4320"/>
          <w:tab w:val="clear" w:pos="8640"/>
        </w:tabs>
        <w:jc w:val="center"/>
        <w:rPr>
          <w:rFonts w:hint="default" w:ascii="宋体" w:hAnsi="宋体" w:eastAsia="宋体"/>
          <w:color w:val="0000FF" w:themeColor="hyperlink"/>
          <w:sz w:val="22"/>
          <w:szCs w:val="22"/>
          <w:u w:val="single"/>
          <w:lang w:val="en-US" w:eastAsia="zh-CN"/>
          <w14:textFill>
            <w14:solidFill>
              <w14:schemeClr w14:val="hlink"/>
            </w14:solidFill>
          </w14:textFill>
        </w:rPr>
      </w:pPr>
      <w:r>
        <w:rPr>
          <w:rFonts w:hint="eastAsia" w:ascii="宋体" w:hAnsi="宋体"/>
          <w:sz w:val="22"/>
          <w:szCs w:val="22"/>
        </w:rPr>
        <w:t>T</w:t>
      </w:r>
      <w:r>
        <w:rPr>
          <w:rFonts w:ascii="宋体" w:hAnsi="宋体"/>
          <w:sz w:val="22"/>
          <w:szCs w:val="22"/>
        </w:rPr>
        <w:t>el:</w:t>
      </w:r>
      <w:r>
        <w:rPr>
          <w:rFonts w:hint="eastAsia" w:ascii="宋体" w:hAnsi="宋体"/>
          <w:sz w:val="22"/>
          <w:szCs w:val="22"/>
        </w:rPr>
        <w:t xml:space="preserve"> </w:t>
      </w:r>
      <w:r>
        <w:rPr>
          <w:rFonts w:hint="eastAsia" w:ascii="宋体" w:hAnsi="宋体"/>
          <w:sz w:val="22"/>
          <w:szCs w:val="22"/>
          <w:lang w:val="en-US" w:eastAsia="zh-CN"/>
        </w:rPr>
        <w:t>xxxxxxxxxx</w:t>
      </w:r>
      <w:r>
        <w:rPr>
          <w:rFonts w:ascii="宋体" w:hAnsi="宋体"/>
          <w:sz w:val="22"/>
          <w:szCs w:val="22"/>
        </w:rPr>
        <w:tab/>
      </w:r>
      <w:r>
        <w:rPr>
          <w:rFonts w:hint="eastAsia" w:ascii="宋体" w:hAnsi="宋体"/>
          <w:sz w:val="22"/>
          <w:szCs w:val="22"/>
        </w:rPr>
        <w:t>E</w:t>
      </w:r>
      <w:r>
        <w:rPr>
          <w:rFonts w:ascii="宋体" w:hAnsi="宋体"/>
          <w:sz w:val="22"/>
          <w:szCs w:val="22"/>
        </w:rPr>
        <w:t>mail:</w:t>
      </w:r>
      <w:r>
        <w:t xml:space="preserve"> </w:t>
      </w:r>
      <w:r>
        <w:rPr>
          <w:rFonts w:hint="eastAsia"/>
          <w:lang w:val="en-US" w:eastAsia="zh-CN"/>
        </w:rPr>
        <w:t>xxxxxxxxxxxx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288"/>
        <w:gridCol w:w="2485"/>
        <w:gridCol w:w="932"/>
        <w:gridCol w:w="1076"/>
        <w:gridCol w:w="859"/>
        <w:gridCol w:w="1331"/>
        <w:gridCol w:w="1439"/>
      </w:tblGrid>
      <w:tr w14:paraId="3103B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5AE10101">
            <w:pPr>
              <w:pStyle w:val="12"/>
              <w:ind w:firstLine="241" w:firstLineChars="100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hint="eastAsia" w:ascii="宋体" w:hAnsi="宋体"/>
                <w:b/>
              </w:rPr>
              <w:t>教育背景</w:t>
            </w:r>
          </w:p>
        </w:tc>
      </w:tr>
      <w:tr w14:paraId="401C9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gridSpan w:val="2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 w14:paraId="168FFC7E">
            <w:pPr>
              <w:pStyle w:val="12"/>
              <w:rPr>
                <w:rFonts w:hint="default" w:ascii="宋体" w:hAnsi="宋体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20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-20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</w:p>
        </w:tc>
        <w:tc>
          <w:tcPr>
            <w:tcW w:w="2485" w:type="dxa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 w14:paraId="55CCEE27">
            <w:pPr>
              <w:pStyle w:val="12"/>
              <w:wordWrap w:val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大学</w:t>
            </w:r>
          </w:p>
        </w:tc>
        <w:tc>
          <w:tcPr>
            <w:tcW w:w="2008" w:type="dxa"/>
            <w:gridSpan w:val="2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 w14:paraId="72BAA543">
            <w:pPr>
              <w:pStyle w:val="12"/>
              <w:wordWrap w:val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学院</w:t>
            </w:r>
          </w:p>
        </w:tc>
        <w:tc>
          <w:tcPr>
            <w:tcW w:w="2190" w:type="dxa"/>
            <w:gridSpan w:val="2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 w14:paraId="13940CDB">
            <w:pPr>
              <w:pStyle w:val="12"/>
              <w:wordWrap w:val="0"/>
              <w:rPr>
                <w:rFonts w:hint="default" w:ascii="宋体" w:hAnsi="宋体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xx专业</w:t>
            </w:r>
          </w:p>
        </w:tc>
        <w:tc>
          <w:tcPr>
            <w:tcW w:w="1439" w:type="dxa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 w14:paraId="66AEB379">
            <w:pPr>
              <w:pStyle w:val="12"/>
              <w:wordWrap w:val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本科</w:t>
            </w:r>
          </w:p>
        </w:tc>
      </w:tr>
      <w:tr w14:paraId="31802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3AA46531">
            <w:pPr>
              <w:pStyle w:val="12"/>
              <w:tabs>
                <w:tab w:val="left" w:pos="360"/>
              </w:tabs>
              <w:ind w:left="108"/>
              <w:rPr>
                <w:rFonts w:ascii="宋体" w:hAnsi="宋体"/>
                <w:b/>
                <w:sz w:val="22"/>
                <w:szCs w:val="22"/>
              </w:rPr>
            </w:pPr>
          </w:p>
        </w:tc>
        <w:tc>
          <w:tcPr>
            <w:tcW w:w="47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86A3CA">
            <w:pPr>
              <w:pStyle w:val="12"/>
              <w:tabs>
                <w:tab w:val="left" w:pos="360"/>
              </w:tabs>
              <w:rPr>
                <w:rFonts w:ascii="宋体" w:hAnsi="宋体"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加权均分</w:t>
            </w:r>
            <w:r>
              <w:rPr>
                <w:rFonts w:hint="eastAsia" w:ascii="宋体" w:hAnsi="宋体"/>
                <w:bCs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9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.52</w:t>
            </w:r>
          </w:p>
        </w:tc>
        <w:tc>
          <w:tcPr>
            <w:tcW w:w="47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32C148">
            <w:pPr>
              <w:pStyle w:val="12"/>
              <w:tabs>
                <w:tab w:val="left" w:pos="360"/>
              </w:tabs>
              <w:rPr>
                <w:rFonts w:hint="eastAsia" w:ascii="宋体" w:hAnsi="宋体" w:eastAsia="宋体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年级排名</w:t>
            </w:r>
            <w:r>
              <w:rPr>
                <w:rFonts w:hint="eastAsia" w:ascii="宋体" w:hAnsi="宋体"/>
                <w:bCs/>
                <w:sz w:val="20"/>
                <w:szCs w:val="20"/>
              </w:rPr>
              <w:t>：</w:t>
            </w:r>
            <w:r>
              <w:rPr>
                <w:rFonts w:hint="eastAsia" w:ascii="宋体" w:hAnsi="宋体"/>
                <w:bCs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宋体" w:hAnsi="宋体"/>
                <w:bCs/>
                <w:sz w:val="20"/>
                <w:szCs w:val="20"/>
              </w:rPr>
              <w:t>/9</w:t>
            </w:r>
            <w:r>
              <w:rPr>
                <w:rFonts w:hint="eastAsia" w:ascii="宋体" w:hAnsi="宋体"/>
                <w:bCs/>
                <w:sz w:val="20"/>
                <w:szCs w:val="20"/>
                <w:lang w:val="en-US" w:eastAsia="zh-CN"/>
              </w:rPr>
              <w:t>9</w:t>
            </w:r>
          </w:p>
        </w:tc>
      </w:tr>
      <w:tr w14:paraId="7C819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54D58EDC">
            <w:pPr>
              <w:pStyle w:val="12"/>
              <w:tabs>
                <w:tab w:val="left" w:pos="360"/>
              </w:tabs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主修课程</w:t>
            </w:r>
          </w:p>
        </w:tc>
        <w:tc>
          <w:tcPr>
            <w:tcW w:w="94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CDE1CC2">
            <w:pPr>
              <w:pStyle w:val="12"/>
              <w:tabs>
                <w:tab w:val="left" w:pos="360"/>
              </w:tabs>
              <w:rPr>
                <w:rFonts w:ascii="宋体" w:hAnsi="宋体"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Cs/>
                <w:sz w:val="20"/>
                <w:szCs w:val="20"/>
              </w:rPr>
              <w:t>微观经济学A（98）、高等数学B</w:t>
            </w:r>
            <w:r>
              <w:rPr>
                <w:rFonts w:ascii="宋体" w:hAnsi="宋体"/>
                <w:bCs/>
                <w:sz w:val="20"/>
                <w:szCs w:val="20"/>
              </w:rPr>
              <w:t>2</w:t>
            </w:r>
            <w:r>
              <w:rPr>
                <w:rFonts w:hint="eastAsia" w:ascii="宋体" w:hAnsi="宋体"/>
                <w:bCs/>
                <w:sz w:val="20"/>
                <w:szCs w:val="20"/>
              </w:rPr>
              <w:t>（9</w:t>
            </w:r>
            <w:r>
              <w:rPr>
                <w:rFonts w:hint="eastAsia" w:ascii="宋体" w:hAnsi="宋体"/>
                <w:bCs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宋体" w:hAnsi="宋体"/>
                <w:bCs/>
                <w:sz w:val="20"/>
                <w:szCs w:val="20"/>
              </w:rPr>
              <w:t>）、线性代数（97）、期货与期权投资（9</w:t>
            </w:r>
            <w:r>
              <w:rPr>
                <w:rFonts w:hint="eastAsia" w:ascii="宋体" w:hAnsi="宋体"/>
                <w:bCs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宋体" w:hAnsi="宋体"/>
                <w:bCs/>
                <w:sz w:val="20"/>
                <w:szCs w:val="20"/>
              </w:rPr>
              <w:t>）</w:t>
            </w:r>
          </w:p>
          <w:p w14:paraId="72253C38">
            <w:pPr>
              <w:pStyle w:val="12"/>
              <w:tabs>
                <w:tab w:val="left" w:pos="360"/>
              </w:tabs>
              <w:rPr>
                <w:rFonts w:ascii="宋体" w:hAnsi="宋体"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Cs/>
                <w:sz w:val="20"/>
                <w:szCs w:val="20"/>
              </w:rPr>
              <w:t>数学实验与建模（9</w:t>
            </w:r>
            <w:r>
              <w:rPr>
                <w:rFonts w:hint="eastAsia" w:ascii="宋体" w:hAnsi="宋体"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/>
                <w:bCs/>
                <w:sz w:val="20"/>
                <w:szCs w:val="20"/>
              </w:rPr>
              <w:t>）、计量经济学A（9</w:t>
            </w:r>
            <w:r>
              <w:rPr>
                <w:rFonts w:hint="eastAsia" w:ascii="宋体" w:hAnsi="宋体"/>
                <w:bCs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宋体" w:hAnsi="宋体"/>
                <w:bCs/>
                <w:sz w:val="20"/>
                <w:szCs w:val="20"/>
              </w:rPr>
              <w:t>）、离散数学（94）、投资银行学（9</w:t>
            </w:r>
            <w:r>
              <w:rPr>
                <w:rFonts w:hint="eastAsia" w:ascii="宋体" w:hAnsi="宋体"/>
                <w:bCs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宋体" w:hAnsi="宋体"/>
                <w:bCs/>
                <w:sz w:val="20"/>
                <w:szCs w:val="20"/>
              </w:rPr>
              <w:t>）</w:t>
            </w:r>
          </w:p>
        </w:tc>
      </w:tr>
      <w:tr w14:paraId="3B8E69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37A40F9C">
            <w:pPr>
              <w:pStyle w:val="12"/>
              <w:tabs>
                <w:tab w:val="left" w:pos="360"/>
              </w:tabs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英语水平</w:t>
            </w:r>
          </w:p>
        </w:tc>
        <w:tc>
          <w:tcPr>
            <w:tcW w:w="94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6CF963">
            <w:pPr>
              <w:pStyle w:val="12"/>
              <w:tabs>
                <w:tab w:val="left" w:pos="360"/>
              </w:tabs>
              <w:rPr>
                <w:rFonts w:hint="default" w:ascii="宋体" w:hAnsi="宋体" w:eastAsia="宋体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0"/>
                <w:szCs w:val="20"/>
              </w:rPr>
              <w:t>C</w:t>
            </w:r>
            <w:r>
              <w:rPr>
                <w:rFonts w:ascii="宋体" w:hAnsi="宋体"/>
                <w:bCs/>
                <w:sz w:val="20"/>
                <w:szCs w:val="20"/>
              </w:rPr>
              <w:t>ET4-</w:t>
            </w:r>
            <w:r>
              <w:rPr>
                <w:rFonts w:hint="eastAsia" w:ascii="宋体" w:hAnsi="宋体"/>
                <w:bCs/>
                <w:sz w:val="20"/>
                <w:szCs w:val="20"/>
                <w:lang w:val="en-US" w:eastAsia="zh-CN"/>
              </w:rPr>
              <w:t>xxx</w:t>
            </w:r>
            <w:r>
              <w:rPr>
                <w:rFonts w:hint="eastAsia" w:ascii="宋体" w:hAnsi="宋体"/>
                <w:bCs/>
                <w:sz w:val="20"/>
                <w:szCs w:val="20"/>
              </w:rPr>
              <w:t>、C</w:t>
            </w:r>
            <w:r>
              <w:rPr>
                <w:rFonts w:ascii="宋体" w:hAnsi="宋体"/>
                <w:bCs/>
                <w:sz w:val="20"/>
                <w:szCs w:val="20"/>
              </w:rPr>
              <w:t>ET6-</w:t>
            </w:r>
            <w:r>
              <w:rPr>
                <w:rFonts w:hint="eastAsia" w:ascii="宋体" w:hAnsi="宋体"/>
                <w:bCs/>
                <w:sz w:val="20"/>
                <w:szCs w:val="20"/>
                <w:lang w:val="en-US" w:eastAsia="zh-CN"/>
              </w:rPr>
              <w:t>xxx</w:t>
            </w:r>
          </w:p>
        </w:tc>
      </w:tr>
      <w:tr w14:paraId="03FD3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68E2B86D">
            <w:pPr>
              <w:pStyle w:val="12"/>
              <w:tabs>
                <w:tab w:val="left" w:pos="360"/>
              </w:tabs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计算机水平</w:t>
            </w:r>
          </w:p>
        </w:tc>
        <w:tc>
          <w:tcPr>
            <w:tcW w:w="94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80EDCF">
            <w:pPr>
              <w:pStyle w:val="12"/>
              <w:tabs>
                <w:tab w:val="left" w:pos="360"/>
              </w:tabs>
              <w:rPr>
                <w:rFonts w:ascii="宋体" w:hAnsi="宋体"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Cs/>
                <w:sz w:val="20"/>
                <w:szCs w:val="20"/>
              </w:rPr>
              <w:t xml:space="preserve">全国计算机等级考试二级 </w:t>
            </w:r>
            <w:r>
              <w:rPr>
                <w:rFonts w:ascii="宋体" w:hAnsi="宋体"/>
                <w:bCs/>
                <w:sz w:val="20"/>
                <w:szCs w:val="20"/>
              </w:rPr>
              <w:t>MS Office</w:t>
            </w:r>
            <w:r>
              <w:rPr>
                <w:rFonts w:hint="eastAsia" w:ascii="宋体" w:hAnsi="宋体"/>
                <w:bCs/>
                <w:sz w:val="20"/>
                <w:szCs w:val="20"/>
              </w:rPr>
              <w:t>高级应用；熟练使用M</w:t>
            </w:r>
            <w:r>
              <w:rPr>
                <w:rFonts w:ascii="宋体" w:hAnsi="宋体"/>
                <w:bCs/>
                <w:sz w:val="20"/>
                <w:szCs w:val="20"/>
              </w:rPr>
              <w:t>atlab</w:t>
            </w:r>
            <w:r>
              <w:rPr>
                <w:rFonts w:hint="eastAsia" w:ascii="宋体" w:hAnsi="宋体"/>
                <w:bCs/>
                <w:sz w:val="20"/>
                <w:szCs w:val="20"/>
              </w:rPr>
              <w:t>、P</w:t>
            </w:r>
            <w:r>
              <w:rPr>
                <w:rFonts w:ascii="宋体" w:hAnsi="宋体"/>
                <w:bCs/>
                <w:sz w:val="20"/>
                <w:szCs w:val="20"/>
              </w:rPr>
              <w:t>ython</w:t>
            </w:r>
            <w:r>
              <w:rPr>
                <w:rFonts w:hint="eastAsia" w:ascii="宋体" w:hAnsi="宋体"/>
                <w:bCs/>
                <w:sz w:val="20"/>
                <w:szCs w:val="20"/>
              </w:rPr>
              <w:t>、S</w:t>
            </w:r>
            <w:r>
              <w:rPr>
                <w:rFonts w:ascii="宋体" w:hAnsi="宋体"/>
                <w:bCs/>
                <w:sz w:val="20"/>
                <w:szCs w:val="20"/>
              </w:rPr>
              <w:t>PSS</w:t>
            </w:r>
            <w:r>
              <w:rPr>
                <w:rFonts w:hint="eastAsia" w:ascii="宋体" w:hAnsi="宋体"/>
                <w:bCs/>
                <w:sz w:val="20"/>
                <w:szCs w:val="20"/>
              </w:rPr>
              <w:t>、L</w:t>
            </w:r>
            <w:r>
              <w:rPr>
                <w:rFonts w:ascii="宋体" w:hAnsi="宋体"/>
                <w:bCs/>
                <w:sz w:val="20"/>
                <w:szCs w:val="20"/>
              </w:rPr>
              <w:t>INGO</w:t>
            </w:r>
            <w:r>
              <w:rPr>
                <w:rFonts w:hint="eastAsia" w:ascii="宋体" w:hAnsi="宋体"/>
                <w:bCs/>
                <w:sz w:val="20"/>
                <w:szCs w:val="20"/>
              </w:rPr>
              <w:t>、s</w:t>
            </w:r>
            <w:r>
              <w:rPr>
                <w:rFonts w:ascii="宋体" w:hAnsi="宋体"/>
                <w:bCs/>
                <w:sz w:val="20"/>
                <w:szCs w:val="20"/>
              </w:rPr>
              <w:t>tata</w:t>
            </w:r>
            <w:r>
              <w:rPr>
                <w:rFonts w:hint="eastAsia" w:ascii="宋体" w:hAnsi="宋体"/>
                <w:bCs/>
                <w:sz w:val="20"/>
                <w:szCs w:val="20"/>
              </w:rPr>
              <w:t>等软件</w:t>
            </w:r>
          </w:p>
        </w:tc>
      </w:tr>
      <w:tr w14:paraId="4CD04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0" w:type="dxa"/>
            <w:gridSpan w:val="8"/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7813B2A9">
            <w:pPr>
              <w:pStyle w:val="12"/>
              <w:ind w:firstLine="241" w:firstLineChars="100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实习实践经历</w:t>
            </w:r>
          </w:p>
        </w:tc>
      </w:tr>
      <w:tr w14:paraId="43598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gridSpan w:val="2"/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0312A680">
            <w:pPr>
              <w:pStyle w:val="12"/>
              <w:tabs>
                <w:tab w:val="left" w:pos="360"/>
              </w:tabs>
              <w:rPr>
                <w:rFonts w:hint="default" w:ascii="宋体" w:hAnsi="宋体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20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-20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</w:p>
        </w:tc>
        <w:tc>
          <w:tcPr>
            <w:tcW w:w="5352" w:type="dxa"/>
            <w:gridSpan w:val="4"/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7B7167B8">
            <w:pPr>
              <w:pStyle w:val="12"/>
              <w:tabs>
                <w:tab w:val="left" w:pos="360"/>
              </w:tabs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训练营</w:t>
            </w:r>
          </w:p>
        </w:tc>
        <w:tc>
          <w:tcPr>
            <w:tcW w:w="2770" w:type="dxa"/>
            <w:gridSpan w:val="2"/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56B9BB11">
            <w:pPr>
              <w:pStyle w:val="12"/>
              <w:tabs>
                <w:tab w:val="left" w:pos="360"/>
              </w:tabs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核心成员</w:t>
            </w:r>
          </w:p>
        </w:tc>
      </w:tr>
      <w:tr w14:paraId="33C94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2D9FD55">
            <w:pPr>
              <w:pStyle w:val="12"/>
              <w:numPr>
                <w:ilvl w:val="0"/>
                <w:numId w:val="1"/>
              </w:numPr>
              <w:ind w:left="340" w:hanging="340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分析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xx</w:t>
            </w:r>
            <w:r>
              <w:rPr>
                <w:rFonts w:hint="eastAsia" w:ascii="宋体" w:hAnsi="宋体"/>
                <w:sz w:val="20"/>
                <w:szCs w:val="20"/>
              </w:rPr>
              <w:t>集团“铁人三项”的商业模式，梳理公司收入来源与成本结构，并用瀑布等作图方式展现分析结果，独立完成</w:t>
            </w:r>
            <w:r>
              <w:rPr>
                <w:rFonts w:ascii="宋体" w:hAnsi="宋体"/>
                <w:sz w:val="20"/>
                <w:szCs w:val="20"/>
              </w:rPr>
              <w:t>1</w:t>
            </w:r>
            <w:r>
              <w:rPr>
                <w:rFonts w:hint="eastAsia" w:ascii="宋体" w:hAnsi="宋体"/>
                <w:sz w:val="20"/>
                <w:szCs w:val="20"/>
              </w:rPr>
              <w:t>6页的公司分析报告，提升自己的数据搜索能力，加强公司、行业分析和数据展现能力</w:t>
            </w:r>
          </w:p>
          <w:p w14:paraId="0052E13A">
            <w:pPr>
              <w:pStyle w:val="12"/>
              <w:numPr>
                <w:ilvl w:val="0"/>
                <w:numId w:val="1"/>
              </w:numPr>
              <w:ind w:left="340" w:hanging="340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梳理公司所在行业供需关系，利用C</w:t>
            </w:r>
            <w:r>
              <w:rPr>
                <w:rFonts w:ascii="宋体" w:hAnsi="宋体"/>
                <w:sz w:val="20"/>
                <w:szCs w:val="20"/>
              </w:rPr>
              <w:t>AGR</w:t>
            </w:r>
            <w:r>
              <w:rPr>
                <w:rFonts w:hint="eastAsia" w:ascii="宋体" w:hAnsi="宋体"/>
                <w:sz w:val="20"/>
                <w:szCs w:val="20"/>
              </w:rPr>
              <w:t>分析智能手机行业、消费级I</w:t>
            </w:r>
            <w:r>
              <w:rPr>
                <w:rFonts w:ascii="宋体" w:hAnsi="宋体"/>
                <w:sz w:val="20"/>
                <w:szCs w:val="20"/>
              </w:rPr>
              <w:t>OT</w:t>
            </w:r>
            <w:r>
              <w:rPr>
                <w:rFonts w:hint="eastAsia" w:ascii="宋体" w:hAnsi="宋体"/>
                <w:sz w:val="20"/>
                <w:szCs w:val="20"/>
              </w:rPr>
              <w:t>行业发展状况，利用CR判断行业竞争态势，发现智能手机行业中国、全球市场空间有限，印度市场空间广阔，且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xx</w:t>
            </w:r>
            <w:r>
              <w:rPr>
                <w:rFonts w:hint="eastAsia" w:ascii="宋体" w:hAnsi="宋体"/>
                <w:sz w:val="20"/>
                <w:szCs w:val="20"/>
              </w:rPr>
              <w:t>公司占据行业主导地位；消费级IOT行业增长迅速，未来市场空间广阔，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xx</w:t>
            </w:r>
            <w:r>
              <w:rPr>
                <w:rFonts w:hint="eastAsia" w:ascii="宋体" w:hAnsi="宋体"/>
                <w:sz w:val="20"/>
                <w:szCs w:val="20"/>
              </w:rPr>
              <w:t>公司占据行业领先地位</w:t>
            </w:r>
          </w:p>
          <w:p w14:paraId="69215B64">
            <w:pPr>
              <w:pStyle w:val="12"/>
              <w:numPr>
                <w:ilvl w:val="0"/>
                <w:numId w:val="1"/>
              </w:numPr>
              <w:ind w:left="340" w:hanging="340"/>
              <w:jc w:val="both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分析公司财务数据，从盈利、偿债、营运和成长4个角度剖析公司经营情况并分析变动原因，与行业平均进行比较发现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xx</w:t>
            </w:r>
            <w:r>
              <w:rPr>
                <w:rFonts w:hint="eastAsia" w:ascii="宋体" w:hAnsi="宋体"/>
                <w:sz w:val="20"/>
                <w:szCs w:val="20"/>
              </w:rPr>
              <w:t>集团智能手机业务利润空间收缩，IOT业务、互联网业务毛利率持续稳步上升</w:t>
            </w:r>
          </w:p>
        </w:tc>
      </w:tr>
      <w:tr w14:paraId="505658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3DF74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20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-20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</w:p>
        </w:tc>
        <w:tc>
          <w:tcPr>
            <w:tcW w:w="53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09E01C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中国中投证券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xxxx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证券营业部</w:t>
            </w:r>
          </w:p>
        </w:tc>
        <w:tc>
          <w:tcPr>
            <w:tcW w:w="2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754D59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营业部实习生</w:t>
            </w:r>
          </w:p>
        </w:tc>
      </w:tr>
      <w:tr w14:paraId="1E076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58ADB0E">
            <w:pPr>
              <w:pStyle w:val="12"/>
              <w:numPr>
                <w:ilvl w:val="0"/>
                <w:numId w:val="1"/>
              </w:numPr>
              <w:ind w:left="340" w:hanging="340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收听30余次中国中投证券公司行业分析早会，并完成4次独立行业股票分析报告演讲，加强了对股票行业板块理解</w:t>
            </w:r>
          </w:p>
          <w:p w14:paraId="4E4DEB00">
            <w:pPr>
              <w:pStyle w:val="12"/>
              <w:numPr>
                <w:ilvl w:val="0"/>
                <w:numId w:val="1"/>
              </w:numPr>
              <w:ind w:left="340" w:hanging="340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协助开展大型证券营销、公司推广等业务活动3次，负责公司证券产品解释，发展20余人次为客户</w:t>
            </w:r>
          </w:p>
        </w:tc>
      </w:tr>
      <w:tr w14:paraId="3E79A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6CD8FF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20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-20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</w:p>
        </w:tc>
        <w:tc>
          <w:tcPr>
            <w:tcW w:w="53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8EE2CE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大学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学院</w:t>
            </w:r>
            <w:r>
              <w:rPr>
                <w:b/>
                <w:bCs/>
                <w:sz w:val="21"/>
                <w:szCs w:val="21"/>
              </w:rPr>
              <w:t>“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xxxx</w:t>
            </w:r>
            <w:r>
              <w:rPr>
                <w:b/>
                <w:bCs/>
                <w:sz w:val="21"/>
                <w:szCs w:val="21"/>
              </w:rPr>
              <w:t>”</w:t>
            </w:r>
            <w:r>
              <w:rPr>
                <w:rFonts w:hint="eastAsia"/>
                <w:b/>
                <w:bCs/>
                <w:sz w:val="21"/>
                <w:szCs w:val="21"/>
              </w:rPr>
              <w:t>实训</w:t>
            </w:r>
          </w:p>
        </w:tc>
        <w:tc>
          <w:tcPr>
            <w:tcW w:w="2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2BD601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xxx</w:t>
            </w:r>
            <w:r>
              <w:rPr>
                <w:rFonts w:hint="eastAsia"/>
                <w:b/>
                <w:bCs/>
                <w:sz w:val="21"/>
                <w:szCs w:val="21"/>
              </w:rPr>
              <w:t>（指导老师）</w:t>
            </w:r>
          </w:p>
        </w:tc>
      </w:tr>
      <w:tr w14:paraId="2AC6C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4F3D4E3">
            <w:pPr>
              <w:pStyle w:val="12"/>
              <w:numPr>
                <w:ilvl w:val="0"/>
                <w:numId w:val="1"/>
              </w:numPr>
              <w:ind w:left="340" w:hanging="340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选择金融板块大型头部券商：中信证券、海通证券、广发证券等股票，进行M</w:t>
            </w:r>
            <w:r>
              <w:rPr>
                <w:rFonts w:ascii="宋体" w:hAnsi="宋体"/>
                <w:sz w:val="20"/>
                <w:szCs w:val="20"/>
              </w:rPr>
              <w:t>ACD</w:t>
            </w:r>
            <w:r>
              <w:rPr>
                <w:rFonts w:hint="eastAsia" w:ascii="宋体" w:hAnsi="宋体"/>
                <w:sz w:val="20"/>
                <w:szCs w:val="20"/>
              </w:rPr>
              <w:t>、K线等技术分析，并进行多次买卖操作；选择价格变化频繁的期货品种：石油沥青、螺纹钢等进行买卖操作，赚取约40%利润，发现</w:t>
            </w:r>
            <w:r>
              <w:rPr>
                <w:rFonts w:ascii="宋体" w:hAnsi="宋体"/>
                <w:sz w:val="20"/>
                <w:szCs w:val="20"/>
              </w:rPr>
              <w:t>MACDFS</w:t>
            </w:r>
            <w:r>
              <w:rPr>
                <w:rFonts w:hint="eastAsia" w:ascii="宋体" w:hAnsi="宋体"/>
                <w:sz w:val="20"/>
                <w:szCs w:val="20"/>
              </w:rPr>
              <w:t>、约定成交量比较对期货瞬时短期价格具有明显的预测作用</w:t>
            </w:r>
          </w:p>
        </w:tc>
      </w:tr>
      <w:tr w14:paraId="4A64E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1AC022C">
            <w:pPr>
              <w:pStyle w:val="12"/>
              <w:ind w:firstLine="241" w:firstLineChars="100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</w:rPr>
              <w:t>科研经历</w:t>
            </w:r>
          </w:p>
        </w:tc>
      </w:tr>
      <w:tr w14:paraId="08E05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gridSpan w:val="2"/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15EE4EF0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20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-20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</w:p>
        </w:tc>
        <w:tc>
          <w:tcPr>
            <w:tcW w:w="5352" w:type="dxa"/>
            <w:gridSpan w:val="4"/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2FCCC157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美国大学生数学建模竞赛（MCM/ICM）</w:t>
            </w:r>
          </w:p>
        </w:tc>
        <w:tc>
          <w:tcPr>
            <w:tcW w:w="2770" w:type="dxa"/>
            <w:gridSpan w:val="2"/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0B7B4A49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H</w:t>
            </w:r>
            <w:r>
              <w:rPr>
                <w:rFonts w:ascii="宋体" w:hAnsi="宋体"/>
                <w:b/>
                <w:bCs/>
                <w:sz w:val="21"/>
                <w:szCs w:val="21"/>
              </w:rPr>
              <w:t>onorable Mention</w:t>
            </w:r>
          </w:p>
        </w:tc>
      </w:tr>
      <w:tr w14:paraId="1D1802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24AF01F">
            <w:pPr>
              <w:pStyle w:val="12"/>
              <w:numPr>
                <w:ilvl w:val="0"/>
                <w:numId w:val="1"/>
              </w:numPr>
              <w:ind w:left="340" w:hanging="340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立足于消费者购买决策、信息可获得性和诊断性理论、以及消费者满意度理论，</w:t>
            </w:r>
            <w:bookmarkStart w:id="0" w:name="_Hlk40879824"/>
            <w:r>
              <w:rPr>
                <w:rFonts w:hint="eastAsia" w:ascii="宋体" w:hAnsi="宋体"/>
                <w:sz w:val="20"/>
                <w:szCs w:val="20"/>
              </w:rPr>
              <w:t>建立了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xx</w:t>
            </w:r>
            <w:r>
              <w:rPr>
                <w:rFonts w:hint="eastAsia" w:ascii="宋体" w:hAnsi="宋体"/>
                <w:sz w:val="20"/>
                <w:szCs w:val="20"/>
              </w:rPr>
              <w:t>模型，研究利用三种商品的实际销售信息，分析星级、评论和帮助等级之间和之内的关系</w:t>
            </w:r>
            <w:bookmarkEnd w:id="0"/>
          </w:p>
          <w:p w14:paraId="7806C826">
            <w:pPr>
              <w:pStyle w:val="12"/>
              <w:numPr>
                <w:ilvl w:val="0"/>
                <w:numId w:val="1"/>
              </w:numPr>
              <w:ind w:left="340" w:hanging="340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负责三种商品销售评价数据清洗和分析，利用p</w:t>
            </w:r>
            <w:r>
              <w:rPr>
                <w:rFonts w:ascii="宋体" w:hAnsi="宋体"/>
                <w:sz w:val="20"/>
                <w:szCs w:val="20"/>
              </w:rPr>
              <w:t>ython</w:t>
            </w:r>
            <w:r>
              <w:rPr>
                <w:rFonts w:hint="eastAsia" w:ascii="宋体" w:hAnsi="宋体"/>
                <w:sz w:val="20"/>
                <w:szCs w:val="20"/>
              </w:rPr>
              <w:t>软件对24975条英文评论数据进行分词处理，并建立分词库，统计并整理出32个情感高频词汇</w:t>
            </w:r>
          </w:p>
          <w:p w14:paraId="1BA92869">
            <w:pPr>
              <w:pStyle w:val="12"/>
              <w:numPr>
                <w:ilvl w:val="0"/>
                <w:numId w:val="1"/>
              </w:numPr>
              <w:ind w:left="340" w:hanging="340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利用m</w:t>
            </w:r>
            <w:r>
              <w:rPr>
                <w:rFonts w:ascii="宋体" w:hAnsi="宋体"/>
                <w:sz w:val="20"/>
                <w:szCs w:val="20"/>
              </w:rPr>
              <w:t>atalb</w:t>
            </w:r>
            <w:r>
              <w:rPr>
                <w:rFonts w:hint="eastAsia" w:ascii="宋体" w:hAnsi="宋体"/>
                <w:sz w:val="20"/>
                <w:szCs w:val="20"/>
              </w:rPr>
              <w:t>软件对星级评价和评论词语数据进行整理，使费尔希判别模型分析，输出结果为显示在默认5倍交叉验证中实现了约5.67%的损失</w:t>
            </w:r>
          </w:p>
        </w:tc>
      </w:tr>
      <w:tr w14:paraId="17EC0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435A65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20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-20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</w:p>
        </w:tc>
        <w:tc>
          <w:tcPr>
            <w:tcW w:w="53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04E727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大学20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年暑期社会实践活动</w:t>
            </w:r>
          </w:p>
        </w:tc>
        <w:tc>
          <w:tcPr>
            <w:tcW w:w="2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F5383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校级A级立项</w:t>
            </w:r>
          </w:p>
        </w:tc>
      </w:tr>
      <w:tr w14:paraId="3D49F1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0A77DF">
            <w:pPr>
              <w:pStyle w:val="12"/>
              <w:numPr>
                <w:ilvl w:val="0"/>
                <w:numId w:val="1"/>
              </w:numPr>
              <w:ind w:left="340" w:hanging="340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对于热点问题“垃圾分类”，在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xx</w:t>
            </w:r>
            <w:r>
              <w:rPr>
                <w:rFonts w:hint="eastAsia" w:ascii="宋体" w:hAnsi="宋体"/>
                <w:sz w:val="20"/>
                <w:szCs w:val="20"/>
              </w:rPr>
              <w:t>市展开垃圾跟踪调查，深刻了解生物降解、蒸汽发电在垃圾处理中的作用</w:t>
            </w:r>
          </w:p>
          <w:p w14:paraId="596ABCDE">
            <w:pPr>
              <w:pStyle w:val="12"/>
              <w:numPr>
                <w:ilvl w:val="0"/>
                <w:numId w:val="1"/>
              </w:numPr>
              <w:ind w:left="340" w:hanging="340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查阅3篇生活垃圾处理行业报告，5篇政府工作报告，8篇媒体对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xx</w:t>
            </w:r>
            <w:r>
              <w:rPr>
                <w:rFonts w:hint="eastAsia" w:ascii="宋体" w:hAnsi="宋体"/>
                <w:sz w:val="20"/>
                <w:szCs w:val="20"/>
              </w:rPr>
              <w:t>市生活垃圾处理的相关报道，建立生活垃圾、餐余垃圾两条线，累计跟踪记录垃圾运输处理路线60多公里，发现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xx</w:t>
            </w:r>
            <w:r>
              <w:rPr>
                <w:rFonts w:hint="eastAsia" w:ascii="宋体" w:hAnsi="宋体"/>
                <w:sz w:val="20"/>
                <w:szCs w:val="20"/>
              </w:rPr>
              <w:t>市垃圾处理具有清晰分类处理、无害焚烧卫生填埋处理、透明运行的优点</w:t>
            </w:r>
          </w:p>
        </w:tc>
      </w:tr>
      <w:tr w14:paraId="300A22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4785A7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20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-20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</w:p>
        </w:tc>
        <w:tc>
          <w:tcPr>
            <w:tcW w:w="53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98F9014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第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x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届中国“互联网+”大学生创新创业大赛</w:t>
            </w:r>
          </w:p>
        </w:tc>
        <w:tc>
          <w:tcPr>
            <w:tcW w:w="2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2E274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校级三等奖</w:t>
            </w:r>
          </w:p>
        </w:tc>
      </w:tr>
      <w:tr w14:paraId="26B2F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ED7E14B">
            <w:pPr>
              <w:pStyle w:val="12"/>
              <w:numPr>
                <w:ilvl w:val="0"/>
                <w:numId w:val="1"/>
              </w:numPr>
              <w:ind w:left="340" w:hanging="340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针对高考新改革，提出“研学教育”的新概念，创立选科游学营和素质能力拓展课程，向青少年提供高质量大学体验课程与素质能力拓展培训，使其能把握住求学道路上的机会</w:t>
            </w:r>
          </w:p>
          <w:p w14:paraId="14BE171B">
            <w:pPr>
              <w:pStyle w:val="12"/>
              <w:numPr>
                <w:ilvl w:val="0"/>
                <w:numId w:val="1"/>
              </w:numPr>
              <w:ind w:left="340" w:hanging="340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查阅13篇专业机构对家庭教育行业调研报告，整理2014-2018年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xx</w:t>
            </w:r>
            <w:r>
              <w:rPr>
                <w:rFonts w:hint="eastAsia" w:ascii="宋体" w:hAnsi="宋体"/>
                <w:sz w:val="20"/>
                <w:szCs w:val="20"/>
              </w:rPr>
              <w:t>市教育统计指标，使用S</w:t>
            </w:r>
            <w:r>
              <w:rPr>
                <w:rFonts w:ascii="宋体" w:hAnsi="宋体"/>
                <w:sz w:val="20"/>
                <w:szCs w:val="20"/>
              </w:rPr>
              <w:t>PSS</w:t>
            </w:r>
            <w:r>
              <w:rPr>
                <w:rFonts w:hint="eastAsia" w:ascii="宋体" w:hAnsi="宋体"/>
                <w:sz w:val="20"/>
                <w:szCs w:val="20"/>
              </w:rPr>
              <w:t>软件对问卷调研数据进行交叉分析发现，不管家长对市场上现有的研学活动的看法如何，都愿意花费一定数量的金额投资在孩子的研学教育方面，利用调查数据估计行业市场容量并制定市场营销计划</w:t>
            </w:r>
          </w:p>
        </w:tc>
      </w:tr>
      <w:tr w14:paraId="18ED51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576B87B">
            <w:pPr>
              <w:pStyle w:val="12"/>
              <w:numPr>
                <w:ilvl w:val="0"/>
                <w:numId w:val="1"/>
              </w:numPr>
              <w:ind w:left="340" w:hanging="340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使用4PS分析制定公司营销策略；运用投资决策现金流贴现、敏感性分析、场景分析、实物期权等理论进行资本预算</w:t>
            </w:r>
          </w:p>
        </w:tc>
      </w:tr>
      <w:tr w14:paraId="78ED4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B712B45">
            <w:pPr>
              <w:pStyle w:val="12"/>
              <w:ind w:firstLine="241" w:firstLineChars="100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/>
                <w:b/>
              </w:rPr>
              <w:t>荣誉获奖</w:t>
            </w:r>
          </w:p>
        </w:tc>
      </w:tr>
      <w:tr w14:paraId="31CC9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2B0BF8C7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国家级</w:t>
            </w:r>
          </w:p>
        </w:tc>
        <w:tc>
          <w:tcPr>
            <w:tcW w:w="9410" w:type="dxa"/>
            <w:gridSpan w:val="7"/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52614D33">
            <w:pPr>
              <w:pStyle w:val="12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国家励志奖学金；                                   美国大学生数学建模竞赛（MCM/ICM）H奖</w:t>
            </w:r>
          </w:p>
        </w:tc>
      </w:tr>
      <w:tr w14:paraId="22ED1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5EFDA209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校  级</w:t>
            </w:r>
          </w:p>
        </w:tc>
        <w:tc>
          <w:tcPr>
            <w:tcW w:w="94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90661EA">
            <w:pPr>
              <w:pStyle w:val="12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第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x</w:t>
            </w:r>
            <w:r>
              <w:rPr>
                <w:rFonts w:hint="eastAsia" w:ascii="宋体" w:hAnsi="宋体"/>
                <w:sz w:val="20"/>
                <w:szCs w:val="20"/>
              </w:rPr>
              <w:t>届 “互联网+”创新创业比赛主赛道校级三等奖；   一等奖学金（5%）；</w:t>
            </w:r>
          </w:p>
          <w:p w14:paraId="4130EE5E">
            <w:pPr>
              <w:pStyle w:val="12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二等奖学金（10%）；                                2次“优秀学生”（10%）；</w:t>
            </w:r>
          </w:p>
          <w:p w14:paraId="3F5BDE07">
            <w:pPr>
              <w:pStyle w:val="12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第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xxx</w:t>
            </w:r>
            <w:r>
              <w:rPr>
                <w:rFonts w:hint="eastAsia" w:ascii="宋体" w:hAnsi="宋体"/>
                <w:sz w:val="20"/>
                <w:szCs w:val="20"/>
              </w:rPr>
              <w:t>届校大学生数学建模竞赛三等奖；               20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xx</w:t>
            </w:r>
            <w:r>
              <w:rPr>
                <w:rFonts w:hint="eastAsia" w:ascii="宋体" w:hAnsi="宋体"/>
                <w:sz w:val="20"/>
                <w:szCs w:val="20"/>
              </w:rPr>
              <w:t>年暑期社会实践活动</w:t>
            </w:r>
            <w:r>
              <w:rPr>
                <w:sz w:val="20"/>
                <w:szCs w:val="20"/>
              </w:rPr>
              <w:t>校级A级立项</w:t>
            </w:r>
            <w:r>
              <w:rPr>
                <w:rFonts w:hint="eastAsia" w:ascii="宋体" w:hAnsi="宋体"/>
                <w:sz w:val="20"/>
                <w:szCs w:val="20"/>
              </w:rPr>
              <w:t>；</w:t>
            </w:r>
          </w:p>
          <w:p w14:paraId="6DA1D9DE">
            <w:pPr>
              <w:pStyle w:val="12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20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xx</w:t>
            </w:r>
            <w:r>
              <w:rPr>
                <w:rFonts w:hint="eastAsia" w:ascii="宋体" w:hAnsi="宋体"/>
                <w:sz w:val="20"/>
                <w:szCs w:val="20"/>
              </w:rPr>
              <w:t>年创新创业校级立项</w:t>
            </w:r>
          </w:p>
        </w:tc>
      </w:tr>
    </w:tbl>
    <w:p w14:paraId="0CFE358E">
      <w:pPr>
        <w:spacing w:line="14" w:lineRule="exact"/>
        <w:rPr>
          <w:rFonts w:ascii="宋体" w:hAnsi="宋体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249555</wp:posOffset>
                </wp:positionV>
                <wp:extent cx="7820025" cy="1905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1905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pt;margin-top:19.65pt;height:15pt;width:615.75pt;z-index:251660288;v-text-anchor:middle;mso-width-relative:page;mso-height-relative:page;" fillcolor="#4F81BD [3204]" filled="t" stroked="t" coordsize="21600,21600" o:gfxdata="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CpuOZdgAAAAKAQAADwAAAAAAAAABACAAAAAiAAAAZHJzL2Rvd25yZXYueG1sUEsBAhQAFAAA&#10;AAgAh07iQPItYl9hAgAA3QQAAA4AAAAAAAAAAQAgAAAAJwEAAGRycy9lMm9Eb2MueG1sUEsFBgAA&#10;AAAGAAYAWQEAAPoFAAAAAA==&#10;">
                <v:fill on="t" focussize="0,0"/>
                <v:stroke weight="2pt" color="#4F81BD [3204]" joinstyle="round"/>
                <v:imagedata o:title=""/>
                <o:lock v:ext="edit" aspectratio="f"/>
              </v:rect>
            </w:pict>
          </mc:Fallback>
        </mc:AlternateConten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Grande">
    <w:altName w:val="Courier New"/>
    <w:panose1 w:val="00000000000000000000"/>
    <w:charset w:val="00"/>
    <w:family w:val="swiss"/>
    <w:pitch w:val="default"/>
    <w:sig w:usb0="00000000" w:usb1="00000000" w:usb2="00000000" w:usb3="00000000" w:csb0="000001B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A92191"/>
    <w:multiLevelType w:val="multilevel"/>
    <w:tmpl w:val="15A92191"/>
    <w:lvl w:ilvl="0" w:tentative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2"/>
  <w:displayVerticalDrawingGridEvery w:val="2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14"/>
    <w:rsid w:val="00003EB1"/>
    <w:rsid w:val="0000695C"/>
    <w:rsid w:val="000116A9"/>
    <w:rsid w:val="000138AC"/>
    <w:rsid w:val="00020CC4"/>
    <w:rsid w:val="000440BE"/>
    <w:rsid w:val="00055AE1"/>
    <w:rsid w:val="00071171"/>
    <w:rsid w:val="000750F3"/>
    <w:rsid w:val="00077E13"/>
    <w:rsid w:val="00082D9A"/>
    <w:rsid w:val="00083964"/>
    <w:rsid w:val="0009369A"/>
    <w:rsid w:val="000A35B7"/>
    <w:rsid w:val="000A4785"/>
    <w:rsid w:val="000A5BD6"/>
    <w:rsid w:val="000B1E21"/>
    <w:rsid w:val="000C5B21"/>
    <w:rsid w:val="000E0988"/>
    <w:rsid w:val="000E7CB8"/>
    <w:rsid w:val="000F4EE5"/>
    <w:rsid w:val="00102AC5"/>
    <w:rsid w:val="00106541"/>
    <w:rsid w:val="00111F4B"/>
    <w:rsid w:val="001366C9"/>
    <w:rsid w:val="00137332"/>
    <w:rsid w:val="00146F53"/>
    <w:rsid w:val="0015760B"/>
    <w:rsid w:val="001634CA"/>
    <w:rsid w:val="0018476A"/>
    <w:rsid w:val="00185CD2"/>
    <w:rsid w:val="0019316F"/>
    <w:rsid w:val="001957D7"/>
    <w:rsid w:val="001A2206"/>
    <w:rsid w:val="001A44D4"/>
    <w:rsid w:val="001A4991"/>
    <w:rsid w:val="001B3893"/>
    <w:rsid w:val="001B541A"/>
    <w:rsid w:val="001B7A48"/>
    <w:rsid w:val="001C6078"/>
    <w:rsid w:val="001D0565"/>
    <w:rsid w:val="001F5B53"/>
    <w:rsid w:val="001F60CB"/>
    <w:rsid w:val="002027E2"/>
    <w:rsid w:val="00207FB3"/>
    <w:rsid w:val="002159A6"/>
    <w:rsid w:val="00240918"/>
    <w:rsid w:val="00253AB6"/>
    <w:rsid w:val="002611F7"/>
    <w:rsid w:val="002709FE"/>
    <w:rsid w:val="002841ED"/>
    <w:rsid w:val="00286FD6"/>
    <w:rsid w:val="002C26F2"/>
    <w:rsid w:val="002C75D0"/>
    <w:rsid w:val="002E7BA2"/>
    <w:rsid w:val="002F10F0"/>
    <w:rsid w:val="00302179"/>
    <w:rsid w:val="003022AB"/>
    <w:rsid w:val="00306DCB"/>
    <w:rsid w:val="00333CE5"/>
    <w:rsid w:val="003427EC"/>
    <w:rsid w:val="00371AE9"/>
    <w:rsid w:val="00377484"/>
    <w:rsid w:val="00377FF7"/>
    <w:rsid w:val="00387715"/>
    <w:rsid w:val="003A5400"/>
    <w:rsid w:val="003C2455"/>
    <w:rsid w:val="003C30A3"/>
    <w:rsid w:val="003D6B9F"/>
    <w:rsid w:val="003D7A81"/>
    <w:rsid w:val="003E3CE7"/>
    <w:rsid w:val="003F4D3C"/>
    <w:rsid w:val="003F4FE8"/>
    <w:rsid w:val="003F555C"/>
    <w:rsid w:val="00412B92"/>
    <w:rsid w:val="00420D66"/>
    <w:rsid w:val="004234C3"/>
    <w:rsid w:val="004324E6"/>
    <w:rsid w:val="00436184"/>
    <w:rsid w:val="004371B3"/>
    <w:rsid w:val="004414BB"/>
    <w:rsid w:val="0045420F"/>
    <w:rsid w:val="00454A55"/>
    <w:rsid w:val="00462EE0"/>
    <w:rsid w:val="00473916"/>
    <w:rsid w:val="004816CE"/>
    <w:rsid w:val="0048435C"/>
    <w:rsid w:val="00486223"/>
    <w:rsid w:val="00487B7C"/>
    <w:rsid w:val="00494CAF"/>
    <w:rsid w:val="004C6958"/>
    <w:rsid w:val="004D0187"/>
    <w:rsid w:val="004D2358"/>
    <w:rsid w:val="004E2A56"/>
    <w:rsid w:val="004F200D"/>
    <w:rsid w:val="004F2375"/>
    <w:rsid w:val="004F557F"/>
    <w:rsid w:val="005007CB"/>
    <w:rsid w:val="005116B3"/>
    <w:rsid w:val="0052069A"/>
    <w:rsid w:val="005465C8"/>
    <w:rsid w:val="005472C2"/>
    <w:rsid w:val="00554C5B"/>
    <w:rsid w:val="00557C17"/>
    <w:rsid w:val="0056546E"/>
    <w:rsid w:val="005672A8"/>
    <w:rsid w:val="00574882"/>
    <w:rsid w:val="00584767"/>
    <w:rsid w:val="00584EA5"/>
    <w:rsid w:val="00586FA6"/>
    <w:rsid w:val="00590146"/>
    <w:rsid w:val="00591A6B"/>
    <w:rsid w:val="005A7E86"/>
    <w:rsid w:val="005D01FB"/>
    <w:rsid w:val="005D631A"/>
    <w:rsid w:val="005E14DF"/>
    <w:rsid w:val="005F2FE1"/>
    <w:rsid w:val="006008DC"/>
    <w:rsid w:val="00600B05"/>
    <w:rsid w:val="00607ACA"/>
    <w:rsid w:val="00611B7D"/>
    <w:rsid w:val="00616F05"/>
    <w:rsid w:val="006202A8"/>
    <w:rsid w:val="006353C5"/>
    <w:rsid w:val="00642CFF"/>
    <w:rsid w:val="00650B45"/>
    <w:rsid w:val="0066376F"/>
    <w:rsid w:val="00663EA3"/>
    <w:rsid w:val="00670973"/>
    <w:rsid w:val="006766D4"/>
    <w:rsid w:val="006820D9"/>
    <w:rsid w:val="00683C56"/>
    <w:rsid w:val="006945D2"/>
    <w:rsid w:val="00697F98"/>
    <w:rsid w:val="006A09EC"/>
    <w:rsid w:val="006A4099"/>
    <w:rsid w:val="006A5CE4"/>
    <w:rsid w:val="006C15A9"/>
    <w:rsid w:val="006C6846"/>
    <w:rsid w:val="006D0213"/>
    <w:rsid w:val="006D5110"/>
    <w:rsid w:val="006D6D29"/>
    <w:rsid w:val="006F578E"/>
    <w:rsid w:val="0070512B"/>
    <w:rsid w:val="00705DA0"/>
    <w:rsid w:val="00712F91"/>
    <w:rsid w:val="00716C28"/>
    <w:rsid w:val="00721D00"/>
    <w:rsid w:val="00740599"/>
    <w:rsid w:val="00751BA0"/>
    <w:rsid w:val="00760DF6"/>
    <w:rsid w:val="00762886"/>
    <w:rsid w:val="007632C7"/>
    <w:rsid w:val="00781EE1"/>
    <w:rsid w:val="007951E2"/>
    <w:rsid w:val="00795D2A"/>
    <w:rsid w:val="007B1F7E"/>
    <w:rsid w:val="007D53B0"/>
    <w:rsid w:val="007F7053"/>
    <w:rsid w:val="00802322"/>
    <w:rsid w:val="00813E3A"/>
    <w:rsid w:val="00815BEF"/>
    <w:rsid w:val="00815E26"/>
    <w:rsid w:val="00820D5D"/>
    <w:rsid w:val="00821DFD"/>
    <w:rsid w:val="0082567A"/>
    <w:rsid w:val="008346D8"/>
    <w:rsid w:val="00837785"/>
    <w:rsid w:val="0084051A"/>
    <w:rsid w:val="00841EAE"/>
    <w:rsid w:val="00842C15"/>
    <w:rsid w:val="00846C6E"/>
    <w:rsid w:val="00853F15"/>
    <w:rsid w:val="00864C6E"/>
    <w:rsid w:val="00864C7B"/>
    <w:rsid w:val="008653FE"/>
    <w:rsid w:val="00867F61"/>
    <w:rsid w:val="0087141A"/>
    <w:rsid w:val="0087322C"/>
    <w:rsid w:val="00891CD4"/>
    <w:rsid w:val="008936DD"/>
    <w:rsid w:val="008B4FAC"/>
    <w:rsid w:val="008B5E04"/>
    <w:rsid w:val="008C72C0"/>
    <w:rsid w:val="008E21FB"/>
    <w:rsid w:val="008F0CE6"/>
    <w:rsid w:val="008F2C40"/>
    <w:rsid w:val="008F3A79"/>
    <w:rsid w:val="008F4566"/>
    <w:rsid w:val="008F4FE8"/>
    <w:rsid w:val="00907169"/>
    <w:rsid w:val="009335E2"/>
    <w:rsid w:val="00940920"/>
    <w:rsid w:val="00955AC9"/>
    <w:rsid w:val="0096007A"/>
    <w:rsid w:val="009619BF"/>
    <w:rsid w:val="009659EC"/>
    <w:rsid w:val="00984949"/>
    <w:rsid w:val="00990BF8"/>
    <w:rsid w:val="009A0132"/>
    <w:rsid w:val="009A26D0"/>
    <w:rsid w:val="009A403A"/>
    <w:rsid w:val="009B0C98"/>
    <w:rsid w:val="009B0E71"/>
    <w:rsid w:val="009B13DF"/>
    <w:rsid w:val="009B34B7"/>
    <w:rsid w:val="009D7E4C"/>
    <w:rsid w:val="009E6A85"/>
    <w:rsid w:val="009F3B83"/>
    <w:rsid w:val="009F6C57"/>
    <w:rsid w:val="00A20ED7"/>
    <w:rsid w:val="00A2343D"/>
    <w:rsid w:val="00A27A0C"/>
    <w:rsid w:val="00A30C5F"/>
    <w:rsid w:val="00A3343E"/>
    <w:rsid w:val="00A336BC"/>
    <w:rsid w:val="00A3687D"/>
    <w:rsid w:val="00A55BA4"/>
    <w:rsid w:val="00A611D6"/>
    <w:rsid w:val="00A61871"/>
    <w:rsid w:val="00A65356"/>
    <w:rsid w:val="00A84434"/>
    <w:rsid w:val="00A976E2"/>
    <w:rsid w:val="00AB3319"/>
    <w:rsid w:val="00AB36F5"/>
    <w:rsid w:val="00AB4FA1"/>
    <w:rsid w:val="00AB61B5"/>
    <w:rsid w:val="00B075B3"/>
    <w:rsid w:val="00B210B4"/>
    <w:rsid w:val="00B21343"/>
    <w:rsid w:val="00B24426"/>
    <w:rsid w:val="00B269FC"/>
    <w:rsid w:val="00B613F3"/>
    <w:rsid w:val="00B71685"/>
    <w:rsid w:val="00B745E0"/>
    <w:rsid w:val="00B77660"/>
    <w:rsid w:val="00BA04FC"/>
    <w:rsid w:val="00BA5D19"/>
    <w:rsid w:val="00BA7471"/>
    <w:rsid w:val="00BB7279"/>
    <w:rsid w:val="00BB73F6"/>
    <w:rsid w:val="00BC54F6"/>
    <w:rsid w:val="00BE1DAA"/>
    <w:rsid w:val="00BE39BB"/>
    <w:rsid w:val="00BF6E49"/>
    <w:rsid w:val="00C001B4"/>
    <w:rsid w:val="00C03ECC"/>
    <w:rsid w:val="00C1081A"/>
    <w:rsid w:val="00C10F70"/>
    <w:rsid w:val="00C16E48"/>
    <w:rsid w:val="00C234C8"/>
    <w:rsid w:val="00C33748"/>
    <w:rsid w:val="00C40C6D"/>
    <w:rsid w:val="00C43D61"/>
    <w:rsid w:val="00C53698"/>
    <w:rsid w:val="00C71EAA"/>
    <w:rsid w:val="00C751C9"/>
    <w:rsid w:val="00C77A50"/>
    <w:rsid w:val="00C875EA"/>
    <w:rsid w:val="00C975CD"/>
    <w:rsid w:val="00CA103E"/>
    <w:rsid w:val="00CA3FD1"/>
    <w:rsid w:val="00CB64E5"/>
    <w:rsid w:val="00CD4E14"/>
    <w:rsid w:val="00CD5116"/>
    <w:rsid w:val="00CE3C02"/>
    <w:rsid w:val="00CE5487"/>
    <w:rsid w:val="00CE585C"/>
    <w:rsid w:val="00CF7A27"/>
    <w:rsid w:val="00D030BD"/>
    <w:rsid w:val="00D06C0F"/>
    <w:rsid w:val="00D26457"/>
    <w:rsid w:val="00D34602"/>
    <w:rsid w:val="00D63EB5"/>
    <w:rsid w:val="00D65032"/>
    <w:rsid w:val="00D66D7B"/>
    <w:rsid w:val="00D71D20"/>
    <w:rsid w:val="00D74D31"/>
    <w:rsid w:val="00D84A09"/>
    <w:rsid w:val="00D85751"/>
    <w:rsid w:val="00D8713B"/>
    <w:rsid w:val="00DB3DF8"/>
    <w:rsid w:val="00DC7BBD"/>
    <w:rsid w:val="00DE0736"/>
    <w:rsid w:val="00DF3B62"/>
    <w:rsid w:val="00DF3CD9"/>
    <w:rsid w:val="00DF74A2"/>
    <w:rsid w:val="00E14F31"/>
    <w:rsid w:val="00E17C8A"/>
    <w:rsid w:val="00E21F10"/>
    <w:rsid w:val="00E225CF"/>
    <w:rsid w:val="00E2433B"/>
    <w:rsid w:val="00E34551"/>
    <w:rsid w:val="00E549B5"/>
    <w:rsid w:val="00E7137C"/>
    <w:rsid w:val="00E74E9D"/>
    <w:rsid w:val="00E93622"/>
    <w:rsid w:val="00EC6AA8"/>
    <w:rsid w:val="00ED6DB9"/>
    <w:rsid w:val="00ED7CBD"/>
    <w:rsid w:val="00EF3B9B"/>
    <w:rsid w:val="00F01807"/>
    <w:rsid w:val="00F43572"/>
    <w:rsid w:val="00F51A06"/>
    <w:rsid w:val="00F5440A"/>
    <w:rsid w:val="00F602BA"/>
    <w:rsid w:val="00F6519B"/>
    <w:rsid w:val="00F72559"/>
    <w:rsid w:val="00F8260F"/>
    <w:rsid w:val="00F954F4"/>
    <w:rsid w:val="00F97027"/>
    <w:rsid w:val="00FB4D95"/>
    <w:rsid w:val="00FB5F14"/>
    <w:rsid w:val="00FC46B6"/>
    <w:rsid w:val="00FC57BB"/>
    <w:rsid w:val="00FD1953"/>
    <w:rsid w:val="00FD2C84"/>
    <w:rsid w:val="00FD2FC4"/>
    <w:rsid w:val="00FD4647"/>
    <w:rsid w:val="00FF1314"/>
    <w:rsid w:val="00FF390D"/>
    <w:rsid w:val="014967E3"/>
    <w:rsid w:val="061A592B"/>
    <w:rsid w:val="090F77CC"/>
    <w:rsid w:val="0FF91D13"/>
    <w:rsid w:val="1528727D"/>
    <w:rsid w:val="17201ACC"/>
    <w:rsid w:val="1C062347"/>
    <w:rsid w:val="1CA15187"/>
    <w:rsid w:val="24E77EB1"/>
    <w:rsid w:val="259A6ED1"/>
    <w:rsid w:val="267C519A"/>
    <w:rsid w:val="2A900300"/>
    <w:rsid w:val="2B561C0C"/>
    <w:rsid w:val="2ED26B6E"/>
    <w:rsid w:val="3C245D09"/>
    <w:rsid w:val="3D8414A0"/>
    <w:rsid w:val="3D897FBF"/>
    <w:rsid w:val="3EB45BF1"/>
    <w:rsid w:val="40815601"/>
    <w:rsid w:val="42E4053E"/>
    <w:rsid w:val="43F3031D"/>
    <w:rsid w:val="46137262"/>
    <w:rsid w:val="4A174486"/>
    <w:rsid w:val="56022299"/>
    <w:rsid w:val="56E214BD"/>
    <w:rsid w:val="5C2576EB"/>
    <w:rsid w:val="5DF27CDD"/>
    <w:rsid w:val="5ED6121A"/>
    <w:rsid w:val="628052D5"/>
    <w:rsid w:val="6428255D"/>
    <w:rsid w:val="69976D97"/>
    <w:rsid w:val="6E196A5B"/>
    <w:rsid w:val="70024503"/>
    <w:rsid w:val="709608B5"/>
    <w:rsid w:val="72172144"/>
    <w:rsid w:val="739E76F6"/>
    <w:rsid w:val="78A6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uiPriority w:val="99"/>
  </w:style>
  <w:style w:type="paragraph" w:styleId="3">
    <w:name w:val="Balloon Text"/>
    <w:basedOn w:val="1"/>
    <w:link w:val="14"/>
    <w:semiHidden/>
    <w:unhideWhenUsed/>
    <w:qFormat/>
    <w:uiPriority w:val="99"/>
    <w:rPr>
      <w:rFonts w:ascii="Lucida Grande" w:hAnsi="Lucida Grande" w:cs="Lucida Grande"/>
      <w:sz w:val="18"/>
      <w:szCs w:val="18"/>
    </w:rPr>
  </w:style>
  <w:style w:type="paragraph" w:styleId="4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5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annotation subject"/>
    <w:basedOn w:val="2"/>
    <w:next w:val="2"/>
    <w:link w:val="17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9"/>
    <w:semiHidden/>
    <w:unhideWhenUsed/>
    <w:qFormat/>
    <w:uiPriority w:val="99"/>
    <w:rPr>
      <w:sz w:val="21"/>
      <w:szCs w:val="21"/>
    </w:rPr>
  </w:style>
  <w:style w:type="paragraph" w:customStyle="1" w:styleId="12">
    <w:name w:val="Resume Align Right"/>
    <w:basedOn w:val="1"/>
    <w:qFormat/>
    <w:uiPriority w:val="0"/>
    <w:pPr>
      <w:tabs>
        <w:tab w:val="right" w:pos="10080"/>
      </w:tabs>
    </w:p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批注框文本 字符"/>
    <w:basedOn w:val="9"/>
    <w:link w:val="3"/>
    <w:semiHidden/>
    <w:qFormat/>
    <w:uiPriority w:val="99"/>
    <w:rPr>
      <w:rFonts w:ascii="Lucida Grande" w:hAnsi="Lucida Grande" w:cs="Lucida Grande"/>
      <w:sz w:val="18"/>
      <w:szCs w:val="18"/>
    </w:rPr>
  </w:style>
  <w:style w:type="character" w:customStyle="1" w:styleId="15">
    <w:name w:val="未处理的提及1"/>
    <w:basedOn w:val="9"/>
    <w:qFormat/>
    <w:uiPriority w:val="99"/>
    <w:rPr>
      <w:color w:val="605E5C"/>
      <w:shd w:val="clear" w:color="auto" w:fill="E1DFDD"/>
    </w:rPr>
  </w:style>
  <w:style w:type="character" w:customStyle="1" w:styleId="16">
    <w:name w:val="批注文字 字符"/>
    <w:basedOn w:val="9"/>
    <w:link w:val="2"/>
    <w:semiHidden/>
    <w:qFormat/>
    <w:uiPriority w:val="99"/>
    <w:rPr>
      <w:sz w:val="24"/>
      <w:szCs w:val="24"/>
    </w:rPr>
  </w:style>
  <w:style w:type="character" w:customStyle="1" w:styleId="17">
    <w:name w:val="批注主题 字符"/>
    <w:basedOn w:val="16"/>
    <w:link w:val="6"/>
    <w:semiHidden/>
    <w:qFormat/>
    <w:uiPriority w:val="99"/>
    <w:rPr>
      <w:b/>
      <w:bCs/>
      <w:sz w:val="24"/>
      <w:szCs w:val="24"/>
    </w:rPr>
  </w:style>
  <w:style w:type="paragraph" w:customStyle="1" w:styleId="18">
    <w:name w:val="修订1"/>
    <w:hidden/>
    <w:semiHidden/>
    <w:qFormat/>
    <w:uiPriority w:val="99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customStyle="1" w:styleId="19">
    <w:name w:val="修订2"/>
    <w:hidden/>
    <w:semiHidden/>
    <w:qFormat/>
    <w:uiPriority w:val="99"/>
    <w:rPr>
      <w:rFonts w:ascii="Times New Roman" w:hAnsi="Times New Roman" w:eastAsia="宋体" w:cs="Times New Roman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FE765F-2647-4846-BA15-201FFC1F05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1</Pages>
  <Words>1520</Words>
  <Characters>1828</Characters>
  <Lines>4</Lines>
  <Paragraphs>4</Paragraphs>
  <TotalTime>0</TotalTime>
  <ScaleCrop>false</ScaleCrop>
  <LinksUpToDate>false</LinksUpToDate>
  <CharactersWithSpaces>1924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2020-05-25T00:35:00Z</dcterms:created>
  <dc:creator>Resume Editing</dc:creator>
  <cp:lastModifiedBy>Ceci</cp:lastModifiedBy>
  <cp:lastPrinted>2019-11-28T12:43:00Z</cp:lastPrinted>
  <dcterms:modified xsi:type="dcterms:W3CDTF">2025-02-10T09:04:30Z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E60B301D9A8346A5B637E40BB0C6CDED</vt:lpwstr>
  </property>
  <property fmtid="{D5CDD505-2E9C-101B-9397-08002B2CF9AE}" pid="4" name="KSOTemplateDocerSaveRecord">
    <vt:lpwstr>eyJoZGlkIjoiN2NlZDA0NTc1MWMzNWE0NzgxNjkxZTYwMDA4OWIyNGIiLCJ1c2VySWQiOiI0OTczMjkzNzEifQ==</vt:lpwstr>
  </property>
</Properties>
</file>