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0"/>
      </w:pPr>
    </w:p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7A5A00"/>
          <w:sz w:val="22"/>
        </w:rPr>
        <w:t>大模型结构演进 · 专题调研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0B2545"/>
          <w:sz w:val="56"/>
        </w:rPr>
        <w:t>GLM-5.2 与 Kimi K3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color w:val="1F4D78"/>
          <w:sz w:val="30"/>
        </w:rPr>
        <w:t>模型结构、长上下文路径与开放能力调研报告</w:t>
      </w:r>
    </w:p>
    <w:p>
      <w:pPr>
        <w:spacing w:after="1680"/>
        <w:jc w:val="center"/>
      </w:pPr>
      <w:r>
        <w:rPr>
          <w:rFonts w:ascii="Arial Unicode MS" w:hAnsi="Arial Unicode MS" w:eastAsia="Arial Unicode MS"/>
          <w:i/>
          <w:color w:val="606A78"/>
          <w:sz w:val="21"/>
        </w:rPr>
        <w:t>长上下文架构的两条路径：稀疏选择与混合线性记忆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0B2545"/>
          <w:sz w:val="21"/>
        </w:rPr>
        <w:t>资料核验截止：2026 年 8 月 20 日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color w:val="606A78"/>
          <w:sz w:val="19"/>
        </w:rPr>
        <w:t>证据范围：官方技术报告、官方模型卡、官方仓库、许可证原文</w:t>
      </w:r>
    </w:p>
    <w:p>
      <w:pPr>
        <w:jc w:val="center"/>
      </w:pPr>
      <w:r>
        <w:rPr>
          <w:rFonts w:ascii="Arial Unicode MS" w:hAnsi="Arial Unicode MS" w:eastAsia="Arial Unicode MS"/>
          <w:color w:val="606A78"/>
          <w:sz w:val="19"/>
        </w:rPr>
        <w:t>报告性质：架构与工程取舍研究；不构成同条件性能排名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摘要</w:t>
      </w:r>
    </w:p>
    <w:p>
      <w:r>
        <w:rPr>
          <w:rFonts w:ascii="Arial Unicode MS" w:hAnsi="Arial Unicode MS" w:eastAsia="Arial Unicode MS"/>
          <w:i w:val="0"/>
          <w:sz w:val="22"/>
        </w:rPr>
        <w:t>两款模型都把长上下文成本视为系统约束，处理方式却不同。GLM-5.2 保留全注意力的检索特性，用 DSA 从历史位置中筛出少量候选；Kimi K3 在四分之三的注意力层中使用固定状态的 KDA，并由四分之一的 Gated MLA 补充全局检索。后文重点比较两条路径与稀疏专家、推测解码和部署系统的协同方式。〔1〕〔2〕〔9〕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在 GLM-5.2 中，MLA 负责压缩 KV，DSA 筛选历史位置，IndexShare 复用跨层索引。Kimi K3 采用“3 层 KDA + 1 层 Gated MLA”的混合注意力，并通过 AttnRes 调整跨层残差读取。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两款模型的官方效率数据口径不同。GLM 官方针对 5.2 直接公布了两项数字：1M 上下文下，IndexShare 将每 token FLOPs 降低 2.9 倍；MTP 接受长度最多提高 20%。K3 官方尚未提供同硬件条件下的通用端到端吞吐数据，因此不能仅凭固定状态或 MXFP4 推算加速倍数。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能力范围也有差别。GLM-5.2 面向文本生成，Kimi K3 原生统一处理文本、图像和视频。两者标称的最大窗口均为 1M；实际可用长度、并发、显存和成本仍需分别评估。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开放范围需要分开说明。GLM-5.2 权重采用 MIT，官方代码仓库采用 Apache-2.0；Kimi K3 使用带营收、MAU 和品牌展示条件的自定义许可证。两者均已开放权重，“完全开源、无条件商用”不适合作为统一描述。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若研究重点是可解释的稀疏检索或现有 Transformer 改造，或者项目需要较宽松的商用许可，可将 GLM-5.2 作为主样本。关注混合线性注意力、深度维信息路由和原生多模态时，Kimi K3 能提供更完整的结构案例。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关键事实速览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1700"/>
        <w:gridCol w:w="3830"/>
        <w:gridCol w:w="383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GLM-5.2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Kimi K3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发布与定位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2026-06-16；长程任务旗舰文本模型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2026-07-16 产品发布；2026-07-27 完整权重；原生多模态 agentic 模型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规模口径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官方主口径 744B 总参 / 40B 激活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2.78T 总参 / 104.2B 激活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层与注意力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78 个主层；MLA + DSA；IndexShare 每 4 层复用 indexer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93 层；69 KDA + 24 Gated MLA；3:1 混合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MoE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256 路由专家，Top-8，1 共享专家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896 路由专家，Top-16，2 共享专家；Stable LatentMoE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上下文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最大 1,048,576 tokens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最大 1,048,576 tokens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多模态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官方发布权重为文本生成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文本、图像、视频统一骨干；MoonViT-V2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权重许可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MIT</w:t>
            </w:r>
          </w:p>
        </w:tc>
        <w:tc>
          <w:tcPr>
            <w:tcW w:type="dxa" w:w="38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自定义 Kimi K3 License，规模化商用附条件</w:t>
            </w:r>
          </w:p>
        </w:tc>
      </w:tr>
    </w:tbl>
    <w:p>
      <w:pPr>
        <w:pStyle w:val="TableCitation"/>
      </w:pPr>
      <w:r>
        <w:rPr>
          <w:rFonts w:ascii="Arial Unicode MS" w:hAnsi="Arial Unicode MS" w:eastAsia="Arial Unicode MS"/>
          <w:i/>
          <w:color w:val="606A78"/>
          <w:sz w:val="17"/>
        </w:rPr>
        <w:t>来源：GLM-5.2 官方模型卡与 config；Kimi K3 技术报告、官方模型卡和许可证。〔2〕〔3〕〔9〕〔11〕〔12〕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1. 调研范围与方法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1.1 研究问题</w:t>
      </w:r>
    </w:p>
    <w:p>
      <w:r>
        <w:rPr>
          <w:rFonts w:ascii="Arial Unicode MS" w:hAnsi="Arial Unicode MS" w:eastAsia="Arial Unicode MS"/>
          <w:i w:val="0"/>
          <w:sz w:val="22"/>
        </w:rPr>
        <w:t>本报告先梳理两款模型的骨干结构，再把各项改动对应到 KV cache、注意力计算、专家通信和深层训练稳定性等瓶颈。随后核对公开材料能够支持的效率结论，并分别说明权重、代码、训练配方和商用许可的开放范围。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1.2 证据层级</w:t>
      </w:r>
    </w:p>
    <w:p>
      <w:r>
        <w:rPr>
          <w:rFonts w:ascii="Arial Unicode MS" w:hAnsi="Arial Unicode MS" w:eastAsia="Arial Unicode MS"/>
          <w:i w:val="0"/>
          <w:sz w:val="22"/>
        </w:rPr>
        <w:t>证据按以下顺序取用：公开权重的 config.json 与许可证原文，官方技术报告及其消融，官方模型卡、GitHub 仓库和发布博客。课程 PPT 仅作补充。报告中的结构数字以公开权重配置为准；若技术报告描述的是系列基座而非具体发布版本，文中会注明“GLM-5 基座/系列”。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8E8"/>
          <w:left w:val="single" w:sz="1" w:space="0" w:color="FFF8E8"/>
          <w:bottom w:val="single" w:sz="1" w:space="0" w:color="FFF8E8"/>
          <w:right w:val="single" w:sz="1" w:space="0" w:color="FFF8E8"/>
          <w:insideH w:val="single" w:sz="1" w:space="0" w:color="FFF8E8"/>
          <w:insideV w:val="single" w:sz="1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版本说明</w:t>
            </w:r>
          </w:p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截至 2026-08-20，GLM-5.3 已于 8 月 14 日发布，但官方称其开放权重将在发布两周后提供。因此，本报告仍把 GLM-5.2 视为当时最新的已公开权重 GLM-5.x 模型，同时不再称其为最新 API 版本。〔4〕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1.3 可比性边界</w:t>
      </w:r>
    </w:p>
    <w:p>
      <w:r>
        <w:rPr>
          <w:rFonts w:ascii="Arial Unicode MS" w:hAnsi="Arial Unicode MS" w:eastAsia="Arial Unicode MS"/>
          <w:i w:val="0"/>
          <w:sz w:val="22"/>
        </w:rPr>
        <w:t>本报告只比较设计路线，不做能力排名。两者在总参数、激活参数、模态、训练数据、后训练策略、agent harness 和部署精度上均有差异；官方 benchmark 使用的上下文窗口、工具链、thinking effort 和采样设置也不同。现有材料不足以支持“谁更强”或“谁更快”的单一结论。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可直接比较的项目包括模块结构、参数口径、最大窗口、原生视觉支持、公开文件、许可证条款，以及完整训练配方是否披露。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不同 harness 的 benchmark 分数、不同硬件与精度下的吞吐、1M 窗口的实际成本，以及由总参数推断的单 token 计算，均不具备直接可比性。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2. GLM-5.2：稀疏选择路线的工程化深化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2.1 发布配置与整体骨干</w:t>
      </w:r>
    </w:p>
    <w:p>
      <w:r>
        <w:rPr>
          <w:rFonts w:ascii="Arial Unicode MS" w:hAnsi="Arial Unicode MS" w:eastAsia="Arial Unicode MS"/>
          <w:i w:val="0"/>
          <w:sz w:val="22"/>
        </w:rPr>
        <w:t>GLM-5.2 的官方口径为 744B 总参数、40B 激活参数，支持 1M token 上下文。公开配置显示 78 个主 Transformer 层，其中前 3 层是 dense MLP，后 75 层是 sparse MoE；另有 1 个 next-token prediction 层。隐藏维度为 6144，注意力头数为 64。MoE 包含 256 个路由专家，每个 token 选择 8 个，并保留 1 个共享专家。〔2〕〔3〕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2050"/>
        <w:gridCol w:w="2750"/>
        <w:gridCol w:w="4560"/>
      </w:tblGrid>
      <w:tr>
        <w:trPr>
          <w:cantSplit/>
          <w:tblHeader w:val="true"/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配置项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公开权重值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解读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主层数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78；前 3 dense、后 75 sparse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工程复现以 config.json 为准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隐藏维度 / 头数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6144 / 64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MLA-256 通过较大 head dim、较少 head 降低解码计算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Q/KV 低秩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q_lora_rank=2048；kv_lora_rank=512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把 KV 压到 latent 以减少缓存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DSA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index_topk=2048；index_topk_freq=4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每次只让主注意力处理 2048 个候选历史位置；4 层复用一次索引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MoE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256 routed；Top-8；1 shared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总参数大，但每 token 只激活部分专家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位置与归一化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RoPE theta=8,000,000；RMSNorm eps=1e-5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该项仅反映公开配置，不能据此推导完整训练结论</w:t>
            </w:r>
          </w:p>
        </w:tc>
      </w:tr>
    </w:tbl>
    <w:p>
      <w:pPr>
        <w:pStyle w:val="TableCitation"/>
      </w:pPr>
      <w:r>
        <w:rPr>
          <w:rFonts w:ascii="Arial Unicode MS" w:hAnsi="Arial Unicode MS" w:eastAsia="Arial Unicode MS"/>
          <w:i/>
          <w:color w:val="606A78"/>
          <w:sz w:val="17"/>
        </w:rPr>
        <w:t>来源：GLM-5.2 官方 config.json；GLM-5 技术报告仅用于解释系列设计。〔3〕〔5〕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2.2 MLA：先压缩 KV，再保留全局注意力</w:t>
      </w:r>
    </w:p>
    <w:p>
      <w:r>
        <w:rPr>
          <w:rFonts w:ascii="Arial Unicode MS" w:hAnsi="Arial Unicode MS" w:eastAsia="Arial Unicode MS"/>
          <w:i w:val="0"/>
          <w:sz w:val="22"/>
        </w:rPr>
        <w:t>MLA（Multi-head Latent Attention）将每个 token 的 K/V 压缩为低维 latent，因而无需为每个注意力头分别缓存完整 K/V。解码时，模型从 latent 重构各头需要的表示。这一做法缓解了 KV cache 随上下文线性增长带来的显存压力，同时保留全局注意力的表达形式。GLM-5 系列的 latent KV 由 512 维内容部分和 64 维 RoPE 部分组成。〔5〕</w:t>
      </w:r>
    </w:p>
    <w:p>
      <w:r>
        <w:rPr>
          <w:rFonts w:ascii="Arial Unicode MS" w:hAnsi="Arial Unicode MS" w:eastAsia="Arial Unicode MS"/>
          <w:i w:val="0"/>
          <w:sz w:val="22"/>
        </w:rPr>
        <w:t>MLA 不能作为独立的“省显存插件”来评价。GLM-5 技术报告显示，在 Muon 优化器下，原始 MLA 一度弱于 GQA-8。团队因此提出 Muon Split：将 Q/K/V 上投影按 attention head 拆开，分别进行矩阵正交化，使不同头能够以不同尺度更新。消融结果显示，这一做法基本补齐了 MLA 与 GQA-8 的差距，说明注意力表示、优化器和更新几何需要协同设计。〔5〕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2.3 DSA 与 IndexShare：稀疏选择的两级降本</w:t>
      </w:r>
    </w:p>
    <w:p>
      <w:r>
        <w:rPr>
          <w:rFonts w:ascii="Arial Unicode MS" w:hAnsi="Arial Unicode MS" w:eastAsia="Arial Unicode MS"/>
          <w:i w:val="0"/>
          <w:sz w:val="22"/>
        </w:rPr>
        <w:t>DSA（DeepSeek Sparse Attention）先用轻量 indexer 对当前 query 与历史 token 打分，只将 Top-k 位置送入主注意力。若序列长度为 L、选取位置数为 k，主注意力计算可从 O(L²) 降至 O(Lk)。GLM-5.2 公开配置中的 k 为 2048。这种选择覆盖整个历史序列；只要被 indexer 选中，远距离 token 仍可进入精确主注意力。〔3〕〔6〕</w:t>
      </w:r>
    </w:p>
    <w:p>
      <w:r>
        <w:rPr>
          <w:rFonts w:ascii="Arial Unicode MS" w:hAnsi="Arial Unicode MS" w:eastAsia="Arial Unicode MS"/>
          <w:i w:val="0"/>
          <w:sz w:val="22"/>
        </w:rPr>
        <w:t>IndexShare 进一步减少 indexer 计算。由于相邻层的 Top-k 选择高度重叠，GLM-5.2 让每 4 个稀疏注意力层复用同一组 indexer 输出：首层生成索引，后三层直接使用。发布材料称这项机制为 IndexShare，相关论文标题使用 IndexCache。官方称，在 1M 上下文下，这项设计使每 token FLOPs 降低 2.9 倍。〔1〕〔2〕〔6〕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8E8"/>
          <w:left w:val="single" w:sz="1" w:space="0" w:color="FFF8E8"/>
          <w:bottom w:val="single" w:sz="1" w:space="0" w:color="FFF8E8"/>
          <w:right w:val="single" w:sz="1" w:space="0" w:color="FFF8E8"/>
          <w:insideH w:val="single" w:sz="1" w:space="0" w:color="FFF8E8"/>
          <w:insideV w:val="single" w:sz="1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数字口径</w:t>
            </w:r>
          </w:p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IndexCache 论文报告的 1.82× prefill 加速和 1.48× 单请求 decode 加速，来自 30B DSA 验证模型、H100 节点和 200K 上下文；针对 744B GLM-5，论文只给出 &gt;100K 时至少 1.3× 的初步结果。这些数字对应各自的实验条件，不能作为 GLM-5.2 的端到端实测。可严格归属于 5.2 的公开口径只有“1M 时每 token FLOPs 降低 2.9×”。〔2〕〔6〕</w:t>
            </w:r>
          </w:p>
        </w:tc>
      </w:tr>
    </w:tbl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2.4 IndexShare 为什么需要训练感知</w:t>
      </w:r>
    </w:p>
    <w:p>
      <w:r>
        <w:rPr>
          <w:rFonts w:ascii="Arial Unicode MS" w:hAnsi="Arial Unicode MS" w:eastAsia="Arial Unicode MS"/>
          <w:i w:val="0"/>
          <w:sz w:val="22"/>
        </w:rPr>
        <w:t>跨层复用的效果取决于层模式和训练适配。IndexCache 论文显示，在 30B 模型上，未经搜索而均匀保留四分之一 indexer，会使长上下文平均分从 50.2 降至 43.0；通过层模式搜索可恢复到 49.9，训练感知的多层蒸馏可接近原始 DSA。若只保留八分之一 indexer，即使经过搜索，得分仍明显下降。因此，复用频率、层位置和训练适配需要一起确定，推理端直接删层并不可取。〔6〕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2.5 MoE 路由与负载均衡</w:t>
      </w:r>
    </w:p>
    <w:p>
      <w:r>
        <w:rPr>
          <w:rFonts w:ascii="Arial Unicode MS" w:hAnsi="Arial Unicode MS" w:eastAsia="Arial Unicode MS"/>
          <w:i w:val="0"/>
          <w:sz w:val="22"/>
        </w:rPr>
        <w:t>GLM-5.2 使用 sigmoid 路由评分、Top-8 路由专家和 1 个共享专家，并在配置中采用 noaux_tc 路由方法。其设计意图是通过偏置和拓扑约束控制专家负载，同时减少传统辅助负载均衡损失对主任务的干扰。公开材料能够确认这些配置和系列机制；由于 5.2 没有单独发布完整的路由训练消融，现有证据不足以量化某个模块的独立收益。〔3〕〔5〕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2.6 MTP：把结构优化转化为解码收益</w:t>
      </w:r>
    </w:p>
    <w:p>
      <w:r>
        <w:rPr>
          <w:rFonts w:ascii="Arial Unicode MS" w:hAnsi="Arial Unicode MS" w:eastAsia="Arial Unicode MS"/>
          <w:i w:val="0"/>
          <w:sz w:val="22"/>
        </w:rPr>
        <w:t>MTP（Multi-Token Prediction）让模型除预测主 token 外，还同时预测后续多个 token，可为 speculative decoding 提供 draft 信号。GLM-5 基座方案让多个 MTP 步共享参数，避免 draft 层参数和 KV cache 随推测步数线性增加；GLM-5.2 又让 MTP indexer 复用首步的 Top-k 索引，并加入 KVShare。官方称接受长度最多提高 20%。〔1〕〔5〕</w:t>
      </w:r>
    </w:p>
    <w:p>
      <w:r>
        <w:rPr>
          <w:rFonts w:ascii="Arial Unicode MS" w:hAnsi="Arial Unicode MS" w:eastAsia="Arial Unicode MS"/>
          <w:i w:val="0"/>
          <w:sz w:val="22"/>
        </w:rPr>
        <w:t>“接受长度提高 20%”是官方原始口径。这一 20% 无法直接换算为端到端吞吐提高 20%。最终速度还取决于硬件、并发、候选步数、验证成本、prefix cache 和生成长度。官方没有公开对应的完整 prompt 分布和绝对吞吐，因此报告沿用原始口径。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2.7 开放范围与现实部署边界</w:t>
      </w:r>
    </w:p>
    <w:p>
      <w:r>
        <w:rPr>
          <w:rFonts w:ascii="Arial Unicode MS" w:hAnsi="Arial Unicode MS" w:eastAsia="Arial Unicode MS"/>
          <w:i w:val="0"/>
          <w:sz w:val="22"/>
        </w:rPr>
        <w:t>GLM-5.2 提供 BF16 和 FP8 权重。权重采用 MIT 许可证，官方 GLM-5 GitHub 仓库代码采用 Apache-2.0；两者均允许商用、修改和分发，使用时需要分别保留相应声明。公开材料提供 Transformers、SGLang、vLLM 等部署入口，也开放了相关 RL 框架。完整预训练数据、端到端训练脚本和适用于 5.2 的可复现训练配方尚未随权重发布。〔2〕〔7〕〔8〕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适合研究的内容</w:t>
            </w:r>
          </w:p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GLM-5.2 可用于研究三个问题：在保留远端精确检索能力的情况下如何降低长上下文注意力成本，如何把稀疏 indexer 迁入现有密集模型，以及 MLA、Muon、MoE 与 MTP 如何在训练和推理两端协同工作。其规模超出单机或小团队直接复现预训练的范围。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3. Kimi K3：在线性记忆与深度路由上的系统重构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3.1 定位、规模与“三维混合”</w:t>
      </w:r>
    </w:p>
    <w:p>
      <w:r>
        <w:rPr>
          <w:rFonts w:ascii="Arial Unicode MS" w:hAnsi="Arial Unicode MS" w:eastAsia="Arial Unicode MS"/>
          <w:i w:val="0"/>
          <w:sz w:val="22"/>
        </w:rPr>
        <w:t>Kimi K3 是 2.78T 总参数、104.2B 激活参数的 MoE 原生多模态模型，共 93 层。技术报告把它的整体思路概括为三维混合：在序列维混合 KDA 与 MLA，在深度维用 AttnRes 选择历史层表示，在通道维用 Stable LatentMoE 把稀疏专家放入低维空间。〔9〕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1550"/>
        <w:gridCol w:w="3450"/>
        <w:gridCol w:w="4360"/>
      </w:tblGrid>
      <w:tr>
        <w:trPr>
          <w:cantSplit/>
          <w:tblHeader w:val="true"/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结构维度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核心模块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解决的问题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序列维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69 KDA + 24 Gated MLA；3:1 混合；MLA 全部 NoPE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KDA 用固定状态降低长序列成本，MLA 周期性保留全局内容检索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深度维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Block AttnRes；8 个约 12 层的块，连同 embedding 共 9 个读取源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让每层选择性读取较早表示，减少普通残差的逐层累积与信息稀释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通道维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896 routed experts、Top-16、2 shared；latent dim 3584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在极稀疏路由下控制专家通信和权重流量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稳定与低精度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SiTU-GLU、Quantile Balancing、Per-Head Muon、QAT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限制激活、平衡专家、改善每头更新，并把低精度约束纳入后训练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多模态</w:t>
            </w:r>
          </w:p>
        </w:tc>
        <w:tc>
          <w:tcPr>
            <w:tcW w:type="dxa" w:w="3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MoonViT-V2，401M、27 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文本、图像、视频在统一骨干中训练</w:t>
            </w:r>
          </w:p>
        </w:tc>
      </w:tr>
    </w:tbl>
    <w:p>
      <w:pPr>
        <w:pStyle w:val="TableCitation"/>
      </w:pPr>
      <w:r>
        <w:rPr>
          <w:rFonts w:ascii="Arial Unicode MS" w:hAnsi="Arial Unicode MS" w:eastAsia="Arial Unicode MS"/>
          <w:i/>
          <w:color w:val="606A78"/>
          <w:sz w:val="17"/>
        </w:rPr>
        <w:t>来源：Kimi K3 技术报告表 1 及第 2–4 节。〔9〕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3.2 KDA：固定状态的递归注意力</w:t>
      </w:r>
    </w:p>
    <w:p>
      <w:r>
        <w:rPr>
          <w:rFonts w:ascii="Arial Unicode MS" w:hAnsi="Arial Unicode MS" w:eastAsia="Arial Unicode MS"/>
          <w:i w:val="0"/>
          <w:sz w:val="22"/>
        </w:rPr>
        <w:t>KDA（Kimi Delta Attention）是一种带通道级遗忘门的 delta-rule 线性注意力，通过固定大小的状态矩阵记录历史。新 token 根据写入强度修改状态，通道级衰减控制旧信息的保留程度；训练时可在 chunk 内并行，推理时按 token 递归更新。KDA 层的状态大小固定，但 K3 整体仍包含 MLA 层的 latent KV cache，因此不能用“上下文无关的常数缓存”描述整个模型。〔9〕</w:t>
      </w:r>
    </w:p>
    <w:p>
      <w:r>
        <w:rPr>
          <w:rFonts w:ascii="Arial Unicode MS" w:hAnsi="Arial Unicode MS" w:eastAsia="Arial Unicode MS"/>
          <w:i w:val="0"/>
          <w:sz w:val="22"/>
        </w:rPr>
        <w:t>K3 为 KDA 引入下界衰减，将 log-decay 的最小值设为 -5。对 16-token tile 而言，累计 log-decay 落在 BF16 可表示范围内，所有 causal tiles 因而可以转为 Tensor Core 擅长的稠密矩阵乘法。KDA 还将输出门改为输入相关的全秩门。这项设计的工程重点在于把递归形式转换为适合实际 kernel 的数据路径。〔9〕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3.3 Gated MLA + NoPE：周期性补充全局检索</w:t>
      </w:r>
    </w:p>
    <w:p>
      <w:r>
        <w:rPr>
          <w:rFonts w:ascii="Arial Unicode MS" w:hAnsi="Arial Unicode MS" w:eastAsia="Arial Unicode MS"/>
          <w:i w:val="0"/>
          <w:sz w:val="22"/>
        </w:rPr>
        <w:t>K3 的每个注意力块由 3 层 KDA 和 1 层 Gated MLA 组成，末尾另加一层 MLA，共计 69 层 KDA 和 24 层 MLA。MLA 仍使用低维 KV latent 进行全局内容检索，并在输出端加入输入相关、通道级、全秩 sigmoid gate。在这一 3:1 配比下，大多数层负责低成本状态更新，周期性的 MLA 用于补充线性状态可能丢失的精确内容访问。〔9〕</w:t>
      </w:r>
    </w:p>
    <w:p>
      <w:r>
        <w:rPr>
          <w:rFonts w:ascii="Arial Unicode MS" w:hAnsi="Arial Unicode MS" w:eastAsia="Arial Unicode MS"/>
          <w:i w:val="0"/>
          <w:sz w:val="22"/>
        </w:rPr>
        <w:t>所有 MLA 均采用 NoPE，即不注入显式位置编码。K3 把顺序与近因信息交给 KDA 的递归衰减，扩展到 1M 时无需重新缩放 RoPE 或 YaRN。NoPE 并未省去长上下文训练：K3 先在预训练中从 8K 扩至 64K，再在 cooldown 阶段从 256K 扩至 1M。〔9〕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3.4 AttnRes：让残差路径变成可学习检索</w:t>
      </w:r>
    </w:p>
    <w:p>
      <w:r>
        <w:rPr>
          <w:rFonts w:ascii="Arial Unicode MS" w:hAnsi="Arial Unicode MS" w:eastAsia="Arial Unicode MS"/>
          <w:i w:val="0"/>
          <w:sz w:val="22"/>
        </w:rPr>
        <w:t>普通残差连接将上一层表示直接加到下一层。模型较深时，早期特征需要经过多次累积才能到达高层，容易逐渐被稀释。AttnRes 使用可学习的注意力机制，决定每层应从哪些历史表示中读取信息：每层通过可学习 pseudo-query，在 embedding 和若干历史层或块表示中选择来源。K3 实际采用 Block AttnRes，将 93 层划分为 8 个约 12 层的块，并把 embedding 作为第 9 个来源。〔9〕</w:t>
      </w:r>
    </w:p>
    <w:p>
      <w:r>
        <w:rPr>
          <w:rFonts w:ascii="Arial Unicode MS" w:hAnsi="Arial Unicode MS" w:eastAsia="Arial Unicode MS"/>
          <w:i w:val="0"/>
          <w:sz w:val="22"/>
        </w:rPr>
        <w:t>分块将完整 AttnRes 的存储和通信规模从 O(Ld) 降至 O(Nd)，其中 L 表示层数，N 表示块数。这构成 K3 与 GLM-5.2 的一项结构差异：GLM 主要在 token 维选择历史位置，K3 还会在深度维选择历史表示。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3.5 Stable LatentMoE：在低维空间放大专家数量</w:t>
      </w:r>
    </w:p>
    <w:p>
      <w:r>
        <w:rPr>
          <w:rFonts w:ascii="Arial Unicode MS" w:hAnsi="Arial Unicode MS" w:eastAsia="Arial Unicode MS"/>
          <w:i w:val="0"/>
          <w:sz w:val="22"/>
        </w:rPr>
        <w:t>K3 有 896 个 routed experts，每个 token 选择 16 个，另有 2 个 shared experts。routed 路径先从 7168 维下投影到 3584 维 latent，再执行专家 FFN；聚合后先做 RMSNorm，再上投影回主隐藏维。共享专家则保留全宽路径。该结构让 routed expert 的计算和通信发生在较低维空间，支撑 16/896 的极稀疏路由。〔9〕</w:t>
      </w:r>
    </w:p>
    <w:p>
      <w:pPr>
        <w:pStyle w:val="Heading3"/>
      </w:pPr>
      <w:r>
        <w:rPr>
          <w:rFonts w:ascii="Arial Unicode MS" w:hAnsi="Arial Unicode MS" w:eastAsia="Arial Unicode MS"/>
          <w:b/>
          <w:color w:val="1F4D78"/>
          <w:sz w:val="24"/>
        </w:rPr>
        <w:t>3.6 SiTU-GLU 与 Quantile Balancing</w:t>
      </w:r>
    </w:p>
    <w:p>
      <w:r>
        <w:rPr>
          <w:rFonts w:ascii="Arial Unicode MS" w:hAnsi="Arial Unicode MS" w:eastAsia="Arial Unicode MS"/>
          <w:i w:val="0"/>
          <w:sz w:val="22"/>
        </w:rPr>
        <w:t>SiTU-GLU 对 gate 分支和 up 分支分别施加平滑 tanh soft cap，参数 β₁=4、β₂=25，并把输出上界控制在 100 附近。它保留 SwiGLU 在常用区间的形状，同时限制极端激活，降低低精度训练中的溢出风险。Quantile Balancing 则在不加入辅助损失的情况下平衡专家：每个 expert 的 bias 只影响 Top-k 选择，不改变 mixture weight；bias 由 router-score margin 的目标分位数直接估计。推理时 bias 冻结。〔9〕</w:t>
      </w:r>
    </w:p>
    <w:p>
      <w:r>
        <w:rPr>
          <w:rFonts w:ascii="Arial Unicode MS" w:hAnsi="Arial Unicode MS" w:eastAsia="Arial Unicode MS"/>
          <w:i w:val="0"/>
          <w:sz w:val="22"/>
        </w:rPr>
        <w:t>分位数方法可根据当前得分分布，直接估算达到目标负载所需的阈值；固定步长方法则按预设幅度调整 bias。官方尚未发布逐项移除 SiTU-GLU、Quantile Balancing、AttnRes 等模块的完整数值消融表，因此系统级 2.5× scaling efficiency 无法归因于某个单独模块。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3.7 Per-Head Muon、QAT 与 MTP</w:t>
      </w:r>
    </w:p>
    <w:p>
      <w:r>
        <w:rPr>
          <w:rFonts w:ascii="Arial Unicode MS" w:hAnsi="Arial Unicode MS" w:eastAsia="Arial Unicode MS"/>
          <w:i w:val="0"/>
          <w:sz w:val="22"/>
        </w:rPr>
        <w:t>K3 的 Per-Head Muon 按 attention head 对 Q/K/V 参数块进行 Newton–Schulz 正交化，使不同头的更新尺度更均衡。QAT 从 SFT 开始贯穿后训练，低精度覆盖范围如下：MXFP4 主要用于 routed MoE expert 权重，激活使用 MXFP8；attention projection、LatentMoE 的投影、shared expert 和 router 等仍保留更高精度。因此，“整模全程 4bit”并非准确描述。〔9〕〔11〕</w:t>
      </w:r>
    </w:p>
    <w:p>
      <w:r>
        <w:rPr>
          <w:rFonts w:ascii="Arial Unicode MS" w:hAnsi="Arial Unicode MS" w:eastAsia="Arial Unicode MS"/>
          <w:i w:val="0"/>
          <w:sz w:val="22"/>
        </w:rPr>
        <w:t>K3 在预训练阶段包含 1 个 MTP 层，并将其微调为 EAGLE-3 风格的 draft model，用于推测解码。这与课件中“无 MTP”的说法不一致。官方技术报告没有给出与 GLM-5.2 条件相同的 acceptance length 或端到端吞吐数据，因此两者的 MTP 只能进行机制比较。〔9〕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3.8 原生多模态与部署状态</w:t>
      </w:r>
    </w:p>
    <w:p>
      <w:r>
        <w:rPr>
          <w:rFonts w:ascii="Arial Unicode MS" w:hAnsi="Arial Unicode MS" w:eastAsia="Arial Unicode MS"/>
          <w:i w:val="0"/>
          <w:sz w:val="22"/>
        </w:rPr>
        <w:t>K3 的 MoonViT-V2 是一个 401M 参数、27 层的视觉编码器，从头训练并与 LLM 联合学习。文本、图像和视频进入统一骨干；视觉 token 经 pixel shuffle 后再缩减 4 倍。由于视觉编码器参与从头训练，多模态能力属于 K3 骨干架构的重要组成部分。〔9〕</w:t>
      </w:r>
    </w:p>
    <w:p>
      <w:r>
        <w:rPr>
          <w:rFonts w:ascii="Arial Unicode MS" w:hAnsi="Arial Unicode MS" w:eastAsia="Arial Unicode MS"/>
          <w:i w:val="0"/>
          <w:sz w:val="22"/>
        </w:rPr>
        <w:t>官方 Hugging Face 提供约 1.56TB 的完整权重，以及加载和处理相关代码，并列出 Transformers、vLLM、SGLang 等部署路径。官方博客建议采用由 64 张以上加速卡组成的超节点。权重文件已经公开；小团队能否低成本在本地运行，仍需结合硬件和部署方式单独评估。截至调研日，完整训练数据、代码和可复现的训练配方均未公开。〔10〕〔11〕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3.9 自定义许可证与使用限制</w:t>
      </w:r>
    </w:p>
    <w:p>
      <w:r>
        <w:rPr>
          <w:rFonts w:ascii="Arial Unicode MS" w:hAnsi="Arial Unicode MS" w:eastAsia="Arial Unicode MS"/>
          <w:i w:val="0"/>
          <w:sz w:val="22"/>
        </w:rPr>
        <w:t>Kimi K3 License 允许使用、复制、修改、分发、再许可、销售、部署与微调，但附有规模化商用条件。若经营 Model-as-a-Service，且主体及关联方连续 12 个月总收入超过 2000 万美元，需先与 Moonshot 另签协议；若商业产品或服务超过 1 亿 MAU，或月营收超过 2000 万美元，界面需显著展示“Kimi K3”。纯内部使用，以及通过 Moonshot 官方产品或认证伙伴访问时，上述两项不适用。〔12〕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8E8"/>
          <w:left w:val="single" w:sz="1" w:space="0" w:color="FFF8E8"/>
          <w:bottom w:val="single" w:sz="1" w:space="0" w:color="FFF8E8"/>
          <w:right w:val="single" w:sz="1" w:space="0" w:color="FFF8E8"/>
          <w:insideH w:val="single" w:sz="1" w:space="0" w:color="FFF8E8"/>
          <w:insideV w:val="single" w:sz="1" w:space="0" w:color="FFF8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7A5A00"/>
                <w:sz w:val="21"/>
              </w:rPr>
              <w:t>开放口径</w:t>
            </w:r>
          </w:p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Kimi K3 的准确口径是“开放权重、附条件自定义许可”。其公开程度高于只提供 API 的闭源模型；许可条件与 MIT/Apache-2.0 权重不同，并对规模化商用提出额外要求。“无条件自由商用”不适用于该模型。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4. 横向比较：两种长上下文架构路径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1650"/>
        <w:gridCol w:w="3855"/>
        <w:gridCol w:w="3855"/>
      </w:tblGrid>
      <w:tr>
        <w:trPr>
          <w:cantSplit/>
          <w:tblHeader w:val="true"/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比较维度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GLM-5.2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Kimi K3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核心策略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保留 MLA 全局表达，用 DSA 选 Top-k，再让 IndexShare 跨层复用索引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大多数层使用固定状态 KDA，周期性以 Gated MLA 补充全局检索；同时在深度维和通道维引入混合机制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注意力成本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主注意力 O(Lk)；indexer 仍有成本，靠每 4 层复用进一步下降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KDA 层状态不随 L 增长；MLA 层 latent KV 仍随上下文增长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远端精确检索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候选进入 Top-k 后执行精确主注意力；强依赖 indexer 召回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MLA 周期性提供全局内容检索；KDA 的压缩状态存在信息遗忘权衡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位置处理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RoPE，theta=8,000,000；DSA indexer 也有相应 RoPE 配置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MLA 全部 NoPE；顺序和近因信息来自 KDA 衰减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深层信息流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标准残差体系，重点改造注意力与优化器耦合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Block AttnRes 让每层从历史块中选择性读取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MoE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256 routed、Top-8、1 shared；noaux 路由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896 routed、Top-16、2 shared；Stable LatentMoE + Quantile Balancing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低精度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公开 BF16/FP8 权重；GLM-5 系列另有特定环境 W4A8 案例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后训练 QAT；routed expert 权重 MXFP4、激活 MXFP8，其他关键组件更高精度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MTP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改进 MTP；IndexShare + KVShare；接受长度最多 +20%（官方口径）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1 个 MTP 层；可微调为 EAGLE-3 draft；无同条件吞吐数字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模态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文本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文本、图像、视频原生统一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许可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权重 MIT；仓库代码 Apache-2.0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自定义许可；规模化 MaaS 与品牌展示附条件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迁移难度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DSA 可通过继续预训练迁入已有 MLA 模型；IndexShare 仍需训练感知适配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KDA、NoPE、AttnRes、LatentMoE 强耦合，更适合从头按体系预训练</w:t>
            </w:r>
          </w:p>
        </w:tc>
      </w:tr>
    </w:tbl>
    <w:p>
      <w:pPr>
        <w:pStyle w:val="TableCitation"/>
      </w:pPr>
      <w:r>
        <w:rPr>
          <w:rFonts w:ascii="Arial Unicode MS" w:hAnsi="Arial Unicode MS" w:eastAsia="Arial Unicode MS"/>
          <w:i/>
          <w:color w:val="606A78"/>
          <w:sz w:val="17"/>
        </w:rPr>
        <w:t>来源：两款模型官方技术报告、公开配置、模型卡与许可证。〔1〕–〔12〕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4.1 GLM 路线：沿现有注意力路径逐步改造</w:t>
      </w:r>
    </w:p>
    <w:p>
      <w:r>
        <w:rPr>
          <w:rFonts w:ascii="Arial Unicode MS" w:hAnsi="Arial Unicode MS" w:eastAsia="Arial Unicode MS"/>
          <w:i w:val="0"/>
          <w:sz w:val="22"/>
        </w:rPr>
        <w:t>GLM-5.2 的关键接口仍是“query 对历史 token 进行内容选择”。DSA 可以通过 continued pretraining 从密集 MLA 模型迁入；IndexShare 利用相邻层选择结果高度重叠的特点，减少 indexer 调用次数。这些改动集中在候选生成和执行路径，同时保留 Transformer 的全局检索范式。该路线便于围绕现有模型分阶段验证，也便于从 FLOPs、索引召回和推测接受率三个方面评估收益。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4.2 K3 路线：多模块协同重构</w:t>
      </w:r>
    </w:p>
    <w:p>
      <w:r>
        <w:rPr>
          <w:rFonts w:ascii="Arial Unicode MS" w:hAnsi="Arial Unicode MS" w:eastAsia="Arial Unicode MS"/>
          <w:i w:val="0"/>
          <w:sz w:val="22"/>
        </w:rPr>
        <w:t>K3 同时调整了序列记忆、位置表示、残差读取、专家空间、激活函数、负载均衡、优化器和多模态入口。KDA 提供的顺序信息支撑 MLA 使用 NoPE；AttnRes 改变层间信息流；Stable LatentMoE 与 Quantile Balancing 共同支撑 896 个专家；SiTU-GLU 用于限制极端激活，改善低精度训练稳定性。这些模块相互依赖，单独移植某个组件不足以复现整套设计的效果。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4.3 1M 上下文的实际差异</w:t>
      </w:r>
    </w:p>
    <w:p>
      <w:r>
        <w:rPr>
          <w:rFonts w:ascii="Arial Unicode MS" w:hAnsi="Arial Unicode MS" w:eastAsia="Arial Unicode MS"/>
          <w:i w:val="0"/>
          <w:sz w:val="22"/>
        </w:rPr>
        <w:t>两者公开配置均给出 1,048,576 token，这一数字只表示容量上限。实际可用性至少还取决于以下四类因素：长上下文训练分布、注意力或状态缓存形式、部署精度与硬件拓扑，以及任务是否需要远端逐字检索。GLM 倾向于将稀疏候选送回精确注意力，主要风险是 indexer 漏召回；K3 倾向于用状态记忆承担大部分历史，并周期性进行全局读取，主要风险是压缩状态遗忘。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4.4 参数口径与部署成本</w:t>
      </w:r>
    </w:p>
    <w:p>
      <w:r>
        <w:rPr>
          <w:rFonts w:ascii="Arial Unicode MS" w:hAnsi="Arial Unicode MS" w:eastAsia="Arial Unicode MS"/>
          <w:i w:val="0"/>
          <w:sz w:val="22"/>
        </w:rPr>
        <w:t>MoE 总参数决定权重存储和跨设备切分压力，激活参数更接近单 token 计算量，两者都无法直接换算为吞吐。GLM-5.2 的 744B/40B 与 K3 的 2.78T/104.2B 应成对展示。K3 的总权重约 1.56TB，官方建议使用 64+ 加速卡；GLM-5.2 同样需要多节点部署。在缺少同硬件、同引擎、同精度、同 batch、同输入输出长度的官方对比测试时，现有材料不足以判断哪一方成本更低。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5. 选型建议与研究价值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5.1 作为课程调研对象的比较价值</w:t>
      </w:r>
    </w:p>
    <w:p>
      <w:r>
        <w:rPr>
          <w:rFonts w:ascii="Arial Unicode MS" w:hAnsi="Arial Unicode MS" w:eastAsia="Arial Unicode MS"/>
          <w:i w:val="0"/>
          <w:sz w:val="22"/>
        </w:rPr>
        <w:t>GLM-5.2 与 Kimi K3 可以在同一框架下比较注意力压缩、MoE 扩展、深层训练稳定性、低精度训练和长上下文 agent 应用。前者以渐进式工程改造为主，后者强调多个模块的协同重构；这种差异比单纯比较参数规模更有研究价值，也能呈现 2026 年长上下文模型的两条主要路径。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5.2 若以工程落地为目标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2200"/>
        <w:gridCol w:w="1600"/>
        <w:gridCol w:w="55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优先样本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理由与前提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已有 Transformer/MLA，希望试验稀疏注意力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GLM-5.2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DSA 有 continued-pretraining 迁移路径；可围绕 indexer 召回、Top-k 与层复用做分阶段实验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许可证要求宽松、计划二次分发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GLM-5.2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权重 MIT、仓库 Apache-2.0；仍需分别保留声明并检查依赖许可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研究混合线性注意力或固定状态记忆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Kimi K3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KDA + MLA 的 3:1 结构、NoPE 和 KDA-aware cache 提供完整系统样本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研究超深模型的跨层信息路由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Kimi K3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AttnRes 把残差读取显式建模为深度维注意力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需要原生视觉/视频 agent 架构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Kimi K3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MoonViT-V2 从头联合训练，模态能力是骨干的一部分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小团队本地部署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两者都不理想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权重和激活规模均要求大型多卡系统，实际部署门槛仍然较高</w:t>
            </w:r>
          </w:p>
        </w:tc>
      </w:tr>
    </w:tbl>
    <w:p>
      <w:pPr>
        <w:pStyle w:val="TableCitation"/>
      </w:pPr>
      <w:r>
        <w:rPr>
          <w:rFonts w:ascii="Arial Unicode MS" w:hAnsi="Arial Unicode MS" w:eastAsia="Arial Unicode MS"/>
          <w:i/>
          <w:color w:val="606A78"/>
          <w:sz w:val="17"/>
        </w:rPr>
        <w:t>说明：本表只反映结构研究价值和工程约束，能力 benchmark 排名不在评价范围内。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5.3 建议的后续验证实验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>注意力检索：</w:t>
      </w:r>
      <w:r>
        <w:rPr>
          <w:rFonts w:ascii="Arial Unicode MS" w:hAnsi="Arial Unicode MS" w:eastAsia="Arial Unicode MS"/>
        </w:rPr>
        <w:t>用 Needle-in-a-Haystack、RULER 与代码仓库跨文件依赖，分别观察 DSA Top-k 漏召回和 KDA 状态遗忘；同时报告实际使用窗口与命中位置分布。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>缓存与吞吐：</w:t>
      </w:r>
      <w:r>
        <w:rPr>
          <w:rFonts w:ascii="Arial Unicode MS" w:hAnsi="Arial Unicode MS" w:eastAsia="Arial Unicode MS"/>
        </w:rPr>
        <w:t>在同一硬件、同一引擎版本、同一精度、同一 batch 下，分别测 32K/128K/256K/1M 的 prefill、decode、峰值显存和 prefix cache 命中。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MoE 稳定性：同时报告 expert load 的均值、P95/P99、丢 token 比例、通信时间和最终 loss。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>低精度：</w:t>
      </w:r>
      <w:r>
        <w:rPr>
          <w:rFonts w:ascii="Arial Unicode MS" w:hAnsi="Arial Unicode MS" w:eastAsia="Arial Unicode MS"/>
        </w:rPr>
        <w:t>分开测试 routed experts、attention、shared experts 与 router 的量化误差，避免把“MXFP4 模型”理解为所有权重都为 4bit。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>推测解码：</w:t>
      </w:r>
      <w:r>
        <w:rPr>
          <w:rFonts w:ascii="Arial Unicode MS" w:hAnsi="Arial Unicode MS" w:eastAsia="Arial Unicode MS"/>
        </w:rPr>
        <w:t>统一 draft 步数、验证策略和 prompt 分布，报告接受长度、接受率、端到端 tokens/s 与尾延迟。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2E74B5"/>
          <w:sz w:val="26"/>
        </w:rPr>
        <w:t>5.4 最终判断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4F6F9"/>
          <w:left w:val="single" w:sz="1" w:space="0" w:color="F4F6F9"/>
          <w:bottom w:val="single" w:sz="1" w:space="0" w:color="F4F6F9"/>
          <w:right w:val="single" w:sz="1" w:space="0" w:color="F4F6F9"/>
          <w:insideH w:val="single" w:sz="1" w:space="0" w:color="F4F6F9"/>
          <w:insideV w:val="single" w:sz="1" w:space="0" w:color="F4F6F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0B2545"/>
                <w:sz w:val="21"/>
              </w:rPr>
              <w:t>选型结论</w:t>
            </w:r>
          </w:p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0B2545"/>
                <w:sz w:val="20"/>
              </w:rPr>
              <w:t>GLM-5.2 × Kimi K3 的对照轴清楚，一手资料也较完整，适合作为一组调研对象。建议将报告主题定为“长上下文大模型的两条架构路径：稀疏选择与混合线性记忆”。“两个 1M 开源模型的性能对比”需要同条件实验，目前证据不足。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6. 对原课件表述的核对与修正</w:t>
      </w:r>
    </w:p>
    <w:p>
      <w:r>
        <w:rPr>
          <w:rFonts w:ascii="Arial Unicode MS" w:hAnsi="Arial Unicode MS" w:eastAsia="Arial Unicode MS"/>
          <w:i w:val="0"/>
          <w:sz w:val="22"/>
        </w:rPr>
        <w:t>原课件可用于梳理主要机制，部分模型版本和工程口径则需要依据官方资料校正。以下内容沿用课程主线，并将系列信息、营销口径和具体权重配置分别说明。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2600"/>
        <w:gridCol w:w="3650"/>
        <w:gridCol w:w="311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课件相关表述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核验结果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报告采用的写法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GLM-5.2 为 753B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HF 页面显示 753B，但官方 repo 与系列报告主口径是 744B-A40B，统计边界未解释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约 744B 总参 / 40B 激活；脚注说明平台统计差异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GLM-5.2 层数沿用 80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技术报告正文、表格与公开 config 存在差异；5.2 config 为 78 个主层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工程结构以 78 个主层为准；标出资料口径冲突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IndexShare 是独立论文名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发布材料称 IndexShare，链接论文标题为 IndexCache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IndexShare（论文中的 IndexCache/跨层 index 复用）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Kimi K3 无 MTP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技术报告表 1 明确有 1 个 MTP 层，并微调为 EAGLE-3 draft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K3 含 1 个 MTP 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K3 整模全程 MXFP4 QAT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QAT 从 SFT 开始；MXFP4 主要覆盖 routed expert 权重，其他关键组件更高精度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后训练 QAT；routed expert W4、activation MXFP8，非整模 4bit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两个 1M 上下文可直接等价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相同的容量上限无法说明检索质量、显存、并发和成本也相同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只比较最大窗口；部署与质量必须单独实测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都属于完全开源模型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GLM 权重 MIT；K3 为附条件自定义许可；两者都未公开完整训练系统</w:t>
            </w:r>
          </w:p>
        </w:tc>
        <w:tc>
          <w:tcPr>
            <w:tcW w:type="dxa" w:w="3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6"/>
              </w:rPr>
              <w:t>统一称开放权重，并分别写清许可与复现范围</w:t>
            </w:r>
          </w:p>
        </w:tc>
      </w:tr>
    </w:tbl>
    <w:p>
      <w:pPr>
        <w:pStyle w:val="TableCitation"/>
      </w:pPr>
      <w:r>
        <w:rPr>
          <w:rFonts w:ascii="Arial Unicode MS" w:hAnsi="Arial Unicode MS" w:eastAsia="Arial Unicode MS"/>
          <w:i/>
          <w:color w:val="606A78"/>
          <w:sz w:val="17"/>
        </w:rPr>
        <w:t>核验依据：官方公开权重配置、技术报告、模型卡与许可证；资料截止 2026-08-20。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7. 局限与风险提示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截至调研日，GLM-5.3 已发布但尚未开放权重。后续引用 5.2 时应写明日期。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GLM-5.2 尚无独立、完整的技术报告。部分训练和消融来自 GLM-5 基座论文，仅可作为技术继承背景。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K3 技术报告提供了多数架构细节，但没有给出 KDA、AttnRes、LatentMoE、QB、SiTU-GLU 的逐项完整消融，也未公开总训练 token。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>两者均未发布完整预训练数据、训练代码和端到端复现所需的训练配方。开放权重和可复现训练需要分别说明。</w:t>
      </w:r>
      <w:r>
        <w:rPr>
          <w:rFonts w:ascii="Arial Unicode MS" w:hAnsi="Arial Unicode MS" w:eastAsia="Arial Unicode MS"/>
        </w:rPr>
        <w:t/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官方效率数字大多来自不同的模型规模、硬件和上下文条件。本报告保留各项实验的原始边界，FLOPs、接受长度和 scaling efficiency 均不换算为通用吞吐。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Arial Unicode MS" w:hAnsi="Arial Unicode MS" w:eastAsia="Arial Unicode MS"/>
          <w:b/>
        </w:rPr>
        <w:t/>
      </w:r>
      <w:r>
        <w:rPr>
          <w:rFonts w:ascii="Arial Unicode MS" w:hAnsi="Arial Unicode MS" w:eastAsia="Arial Unicode MS"/>
        </w:rPr>
        <w:t>许可证部分属于技术调研，不能替代法律意见。企业商用时，仍需复核 Kimi K3 License 中关于收入、MAU、关联方和品牌展示的条款。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参考资料</w:t>
      </w:r>
    </w:p>
    <w:p>
      <w:r>
        <w:rPr>
          <w:rFonts w:ascii="Arial Unicode MS" w:hAnsi="Arial Unicode MS" w:eastAsia="Arial Unicode MS"/>
          <w:i/>
          <w:color w:val="606A78"/>
          <w:sz w:val="19"/>
        </w:rPr>
        <w:t>以下均为一手来源。访问日期均为 2026-08-20。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[1] Z.AI, GLM-5.2: Built for Long-Horizon Tasks。</w:t>
      </w:r>
      <w:hyperlink r:id="rId11">
        <w:r>
          <w:rPr>
            <w:rFonts w:ascii="Arial Unicode MS" w:hAnsi="Arial Unicode MS" w:eastAsia="Arial Unicode MS"/>
            <w:color w:val="2E74B5"/>
            <w:sz w:val="17"/>
          </w:rPr>
          <w:t>https://z.ai/blog/glm-5.2</w:t>
        </w:r>
      </w:hyperlink>
      <w:r>
        <w:rPr>
          <w:rFonts w:ascii="Arial Unicode MS" w:hAnsi="Arial Unicode MS" w:eastAsia="Arial Unicode MS"/>
          <w:color w:val="606A78"/>
          <w:sz w:val="18"/>
        </w:rPr>
        <w:t>（发布、IndexShare、MTP 与长程训练）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[2] Z.AI, GLM-5.2 Official Model Card。</w:t>
      </w:r>
      <w:hyperlink r:id="rId12">
        <w:r>
          <w:rPr>
            <w:rFonts w:ascii="Arial Unicode MS" w:hAnsi="Arial Unicode MS" w:eastAsia="Arial Unicode MS"/>
            <w:color w:val="2E74B5"/>
            <w:sz w:val="17"/>
          </w:rPr>
          <w:t>https://huggingface.co/zai-org/GLM-5.2</w:t>
        </w:r>
      </w:hyperlink>
      <w:r>
        <w:rPr>
          <w:rFonts w:ascii="Arial Unicode MS" w:hAnsi="Arial Unicode MS" w:eastAsia="Arial Unicode MS"/>
          <w:color w:val="606A78"/>
          <w:sz w:val="18"/>
        </w:rPr>
        <w:t>（权重、1M 上下文、部署与模型口径）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[3] Z.AI, GLM-5.2 config.json。</w:t>
      </w:r>
      <w:hyperlink r:id="rId13">
        <w:r>
          <w:rPr>
            <w:rFonts w:ascii="Arial Unicode MS" w:hAnsi="Arial Unicode MS" w:eastAsia="Arial Unicode MS"/>
            <w:color w:val="2E74B5"/>
            <w:sz w:val="17"/>
          </w:rPr>
          <w:t>https://huggingface.co/zai-org/GLM-5.2/raw/main/config.json</w:t>
        </w:r>
      </w:hyperlink>
      <w:r>
        <w:rPr>
          <w:rFonts w:ascii="Arial Unicode MS" w:hAnsi="Arial Unicode MS" w:eastAsia="Arial Unicode MS"/>
          <w:color w:val="606A78"/>
          <w:sz w:val="18"/>
        </w:rPr>
        <w:t>（公开权重结构配置）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[4] Z.AI, GLM-5.3: Frontier Coding with Emergent Cyber Capabilities。</w:t>
      </w:r>
      <w:hyperlink r:id="rId14">
        <w:r>
          <w:rPr>
            <w:rFonts w:ascii="Arial Unicode MS" w:hAnsi="Arial Unicode MS" w:eastAsia="Arial Unicode MS"/>
            <w:color w:val="2E74B5"/>
            <w:sz w:val="17"/>
          </w:rPr>
          <w:t>https://z.ai/blog/glm-5.3</w:t>
        </w:r>
      </w:hyperlink>
      <w:r>
        <w:rPr>
          <w:rFonts w:ascii="Arial Unicode MS" w:hAnsi="Arial Unicode MS" w:eastAsia="Arial Unicode MS"/>
          <w:color w:val="606A78"/>
          <w:sz w:val="18"/>
        </w:rPr>
        <w:t>（5.3 发布时间与权重开放计划）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[5] GLM-5 Team, GLM-5 Technical Report。</w:t>
      </w:r>
      <w:hyperlink r:id="rId15">
        <w:r>
          <w:rPr>
            <w:rFonts w:ascii="Arial Unicode MS" w:hAnsi="Arial Unicode MS" w:eastAsia="Arial Unicode MS"/>
            <w:color w:val="2E74B5"/>
            <w:sz w:val="17"/>
          </w:rPr>
          <w:t>https://arxiv.org/abs/2602.15763</w:t>
        </w:r>
      </w:hyperlink>
      <w:r>
        <w:rPr>
          <w:rFonts w:ascii="Arial Unicode MS" w:hAnsi="Arial Unicode MS" w:eastAsia="Arial Unicode MS"/>
          <w:color w:val="606A78"/>
          <w:sz w:val="18"/>
        </w:rPr>
        <w:t>（GLM-5 基座架构、MLA、Muon Split、DSA、MTP）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[6] Z.AI, IndexCache: Accelerating Sparse Attention via Cross-Layer Index Reuse。</w:t>
      </w:r>
      <w:hyperlink r:id="rId16">
        <w:r>
          <w:rPr>
            <w:rFonts w:ascii="Arial Unicode MS" w:hAnsi="Arial Unicode MS" w:eastAsia="Arial Unicode MS"/>
            <w:color w:val="2E74B5"/>
            <w:sz w:val="17"/>
          </w:rPr>
          <w:t>https://arxiv.org/abs/2603.12201</w:t>
        </w:r>
      </w:hyperlink>
      <w:r>
        <w:rPr>
          <w:rFonts w:ascii="Arial Unicode MS" w:hAnsi="Arial Unicode MS" w:eastAsia="Arial Unicode MS"/>
          <w:color w:val="606A78"/>
          <w:sz w:val="18"/>
        </w:rPr>
        <w:t>（跨层 index 复用算法、消融与条件化性能数据）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[7] Z.AI, GLM-5.2 Model Weights License。</w:t>
      </w:r>
      <w:hyperlink r:id="rId17">
        <w:r>
          <w:rPr>
            <w:rFonts w:ascii="Arial Unicode MS" w:hAnsi="Arial Unicode MS" w:eastAsia="Arial Unicode MS"/>
            <w:color w:val="2E74B5"/>
            <w:sz w:val="17"/>
          </w:rPr>
          <w:t>https://huggingface.co/zai-org/GLM-5.2/raw/main/LICENSE</w:t>
        </w:r>
      </w:hyperlink>
      <w:r>
        <w:rPr>
          <w:rFonts w:ascii="Arial Unicode MS" w:hAnsi="Arial Unicode MS" w:eastAsia="Arial Unicode MS"/>
          <w:color w:val="606A78"/>
          <w:sz w:val="18"/>
        </w:rPr>
        <w:t>（MIT 权重许可证）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[8] Z.AI, GLM-5 Repository License。</w:t>
      </w:r>
      <w:hyperlink r:id="rId18">
        <w:r>
          <w:rPr>
            <w:rFonts w:ascii="Arial Unicode MS" w:hAnsi="Arial Unicode MS" w:eastAsia="Arial Unicode MS"/>
            <w:color w:val="2E74B5"/>
            <w:sz w:val="17"/>
          </w:rPr>
          <w:t>https://raw.githubusercontent.com/zai-org/GLM-5/main/LICENSE</w:t>
        </w:r>
      </w:hyperlink>
      <w:r>
        <w:rPr>
          <w:rFonts w:ascii="Arial Unicode MS" w:hAnsi="Arial Unicode MS" w:eastAsia="Arial Unicode MS"/>
          <w:color w:val="606A78"/>
          <w:sz w:val="18"/>
        </w:rPr>
        <w:t>（Apache-2.0 代码许可证）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[9] Kimi Team, Kimi K3: Open Frontier Intelligence。</w:t>
      </w:r>
      <w:hyperlink r:id="rId19">
        <w:r>
          <w:rPr>
            <w:rFonts w:ascii="Arial Unicode MS" w:hAnsi="Arial Unicode MS" w:eastAsia="Arial Unicode MS"/>
            <w:color w:val="2E74B5"/>
            <w:sz w:val="17"/>
          </w:rPr>
          <w:t>https://arxiv.org/abs/2607.24653</w:t>
        </w:r>
      </w:hyperlink>
      <w:r>
        <w:rPr>
          <w:rFonts w:ascii="Arial Unicode MS" w:hAnsi="Arial Unicode MS" w:eastAsia="Arial Unicode MS"/>
          <w:color w:val="606A78"/>
          <w:sz w:val="18"/>
        </w:rPr>
        <w:t>（K3 架构、训练、系统与消融）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[10] Moonshot AI, Kimi K3 Official GitHub Repository。</w:t>
      </w:r>
      <w:hyperlink r:id="rId20">
        <w:r>
          <w:rPr>
            <w:rFonts w:ascii="Arial Unicode MS" w:hAnsi="Arial Unicode MS" w:eastAsia="Arial Unicode MS"/>
            <w:color w:val="2E74B5"/>
            <w:sz w:val="17"/>
          </w:rPr>
          <w:t>https://github.com/MoonshotAI/Kimi-K3</w:t>
        </w:r>
      </w:hyperlink>
      <w:r>
        <w:rPr>
          <w:rFonts w:ascii="Arial Unicode MS" w:hAnsi="Arial Unicode MS" w:eastAsia="Arial Unicode MS"/>
          <w:color w:val="606A78"/>
          <w:sz w:val="18"/>
        </w:rPr>
        <w:t>（模型摘要、部署建议与仓库开放范围）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[11] Moonshot AI, Kimi K3 Official Model Card。</w:t>
      </w:r>
      <w:hyperlink r:id="rId21">
        <w:r>
          <w:rPr>
            <w:rFonts w:ascii="Arial Unicode MS" w:hAnsi="Arial Unicode MS" w:eastAsia="Arial Unicode MS"/>
            <w:color w:val="2E74B5"/>
            <w:sz w:val="17"/>
          </w:rPr>
          <w:t>https://huggingface.co/moonshotai/Kimi-K3</w:t>
        </w:r>
      </w:hyperlink>
      <w:r>
        <w:rPr>
          <w:rFonts w:ascii="Arial Unicode MS" w:hAnsi="Arial Unicode MS" w:eastAsia="Arial Unicode MS"/>
          <w:color w:val="606A78"/>
          <w:sz w:val="18"/>
        </w:rPr>
        <w:t>（权重文件、配置、部署与量化口径）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[12] Moonshot AI, Kimi K3 License。</w:t>
      </w:r>
      <w:hyperlink r:id="rId22">
        <w:r>
          <w:rPr>
            <w:rFonts w:ascii="Arial Unicode MS" w:hAnsi="Arial Unicode MS" w:eastAsia="Arial Unicode MS"/>
            <w:color w:val="2E74B5"/>
            <w:sz w:val="17"/>
          </w:rPr>
          <w:t>https://huggingface.co/moonshotai/Kimi-K3/raw/main/LICENSE</w:t>
        </w:r>
      </w:hyperlink>
      <w:r>
        <w:rPr>
          <w:rFonts w:ascii="Arial Unicode MS" w:hAnsi="Arial Unicode MS" w:eastAsia="Arial Unicode MS"/>
          <w:color w:val="606A78"/>
          <w:sz w:val="18"/>
        </w:rPr>
        <w:t>（自定义许可证与商用条件）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[13] Moonshot AI, Kimi K3 Official Release Blog。</w:t>
      </w:r>
      <w:hyperlink r:id="rId23">
        <w:r>
          <w:rPr>
            <w:rFonts w:ascii="Arial Unicode MS" w:hAnsi="Arial Unicode MS" w:eastAsia="Arial Unicode MS"/>
            <w:color w:val="2E74B5"/>
            <w:sz w:val="17"/>
          </w:rPr>
          <w:t>https://www.kimi.com/news/kimi-k3</w:t>
        </w:r>
      </w:hyperlink>
      <w:r>
        <w:rPr>
          <w:rFonts w:ascii="Arial Unicode MS" w:hAnsi="Arial Unicode MS" w:eastAsia="Arial Unicode MS"/>
          <w:color w:val="606A78"/>
          <w:sz w:val="18"/>
        </w:rPr>
        <w:t>（发布定位与开放权重时间线）</w:t>
      </w:r>
    </w:p>
    <w:p>
      <w:pPr>
        <w:pStyle w:val="Reference"/>
      </w:pPr>
      <w:r>
        <w:rPr>
          <w:rFonts w:ascii="Arial Unicode MS" w:hAnsi="Arial Unicode MS" w:eastAsia="Arial Unicode MS"/>
          <w:b/>
          <w:color w:val="0B2545"/>
          <w:sz w:val="18"/>
        </w:rPr>
        <w:t>[14] Moonshot AI, Kimi Agent Overview。</w:t>
      </w:r>
      <w:hyperlink r:id="rId24">
        <w:r>
          <w:rPr>
            <w:rFonts w:ascii="Arial Unicode MS" w:hAnsi="Arial Unicode MS" w:eastAsia="Arial Unicode MS"/>
            <w:color w:val="2E74B5"/>
            <w:sz w:val="17"/>
          </w:rPr>
          <w:t>https://github.com/MoonshotAI/kimi-help-center/blob/master/en-US/agent/overview.md</w:t>
        </w:r>
      </w:hyperlink>
      <w:r>
        <w:rPr>
          <w:rFonts w:ascii="Arial Unicode MS" w:hAnsi="Arial Unicode MS" w:eastAsia="Arial Unicode MS"/>
          <w:color w:val="606A78"/>
          <w:sz w:val="18"/>
        </w:rPr>
        <w:t>（产品演进与发布日期）</w:t>
      </w:r>
    </w:p>
    <w:p>
      <w:pPr>
        <w:pStyle w:val="Heading1"/>
      </w:pPr>
      <w:r>
        <w:rPr>
          <w:rFonts w:ascii="Arial Unicode MS" w:hAnsi="Arial Unicode MS" w:eastAsia="Arial Unicode MS"/>
          <w:b/>
          <w:color w:val="2E74B5"/>
          <w:sz w:val="32"/>
        </w:rPr>
        <w:t>附录：术语简表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8D0DA"/>
          <w:left w:val="single" w:sz="5" w:space="0" w:color="C8D0DA"/>
          <w:bottom w:val="single" w:sz="5" w:space="0" w:color="C8D0DA"/>
          <w:right w:val="single" w:sz="5" w:space="0" w:color="C8D0DA"/>
          <w:insideH w:val="single" w:sz="5" w:space="0" w:color="C8D0DA"/>
          <w:insideV w:val="single" w:sz="5" w:space="0" w:color="C8D0DA"/>
        </w:tblBorders>
      </w:tblPr>
      <w:tblGrid>
        <w:gridCol w:w="1600"/>
        <w:gridCol w:w="2600"/>
        <w:gridCol w:w="516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中文解释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在本报告中的作用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MLA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多头潜在注意力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将 K/V 压成低维 latent，降低 KV cache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DSA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稀疏注意力选择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用 indexer 选 Top-k 历史位置，再执行主注意力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IndexShare / IndexCache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跨层索引复用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相邻层共享 Top-k 选择，减少 indexer 计算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KDA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Kimi Delta Attention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用带衰减和写入门的固定状态记忆历史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AttnRes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注意力式残差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让当前层选择性读取早期层或块表示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LatentMoE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潜在空间专家混合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把 routed experts 放在较低维空间，控制通信与权重流量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MTP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多 token 预测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一次预测多个未来 token，可服务推测解码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QAT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量化感知训练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AFBFC"/>
          </w:tcPr>
          <w:p>
            <w:pPr>
              <w:spacing w:after="0" w:line="252" w:lineRule="auto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训练时模拟低精度误差，使部署精度更稳定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606A78"/>
        <w:sz w:val="17"/>
      </w:rPr>
      <w:t xml:space="preserve">第 </w:t>
    </w:r>
    <w:r>
      <w:rPr>
        <w:rFonts w:ascii="Arial Unicode MS" w:hAnsi="Arial Unicode MS" w:eastAsia="Arial Unicode MS"/>
        <w:color w:val="606A78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06A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 Unicode MS" w:hAnsi="Arial Unicode MS" w:eastAsia="Arial Unicode MS"/>
        <w:b/>
        <w:color w:val="606A78"/>
        <w:sz w:val="17"/>
      </w:rPr>
      <w:t>模型结构调研  |  GLM-5.2 × Kimi K3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Arial Unicode MS" w:hAnsi="Arial Unicode MS" w:eastAsia="Arial Unicode MS"/>
      <w:color w:val="606A78"/>
      <w:sz w:val="17"/>
    </w:rPr>
  </w:style>
  <w:style w:type="paragraph" w:customStyle="1" w:styleId="Reference">
    <w:name w:val="Reference"/>
    <w:pPr>
      <w:spacing w:before="0" w:after="120" w:line="259" w:lineRule="auto"/>
      <w:ind w:left="360" w:hanging="360"/>
    </w:pPr>
    <w:rPr>
      <w:rFonts w:ascii="Arial Unicode MS" w:hAnsi="Arial Unicode MS" w:eastAsia="Arial Unicode M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z.ai/blog/glm-5.2" TargetMode="External"/><Relationship Id="rId12" Type="http://schemas.openxmlformats.org/officeDocument/2006/relationships/hyperlink" Target="https://huggingface.co/zai-org/GLM-5.2" TargetMode="External"/><Relationship Id="rId13" Type="http://schemas.openxmlformats.org/officeDocument/2006/relationships/hyperlink" Target="https://huggingface.co/zai-org/GLM-5.2/raw/main/config.json" TargetMode="External"/><Relationship Id="rId14" Type="http://schemas.openxmlformats.org/officeDocument/2006/relationships/hyperlink" Target="https://z.ai/blog/glm-5.3" TargetMode="External"/><Relationship Id="rId15" Type="http://schemas.openxmlformats.org/officeDocument/2006/relationships/hyperlink" Target="https://arxiv.org/abs/2602.15763" TargetMode="External"/><Relationship Id="rId16" Type="http://schemas.openxmlformats.org/officeDocument/2006/relationships/hyperlink" Target="https://arxiv.org/abs/2603.12201" TargetMode="External"/><Relationship Id="rId17" Type="http://schemas.openxmlformats.org/officeDocument/2006/relationships/hyperlink" Target="https://huggingface.co/zai-org/GLM-5.2/raw/main/LICENSE" TargetMode="External"/><Relationship Id="rId18" Type="http://schemas.openxmlformats.org/officeDocument/2006/relationships/hyperlink" Target="https://raw.githubusercontent.com/zai-org/GLM-5/main/LICENSE" TargetMode="External"/><Relationship Id="rId19" Type="http://schemas.openxmlformats.org/officeDocument/2006/relationships/hyperlink" Target="https://arxiv.org/abs/2607.24653" TargetMode="External"/><Relationship Id="rId20" Type="http://schemas.openxmlformats.org/officeDocument/2006/relationships/hyperlink" Target="https://github.com/MoonshotAI/Kimi-K3" TargetMode="External"/><Relationship Id="rId21" Type="http://schemas.openxmlformats.org/officeDocument/2006/relationships/hyperlink" Target="https://huggingface.co/moonshotai/Kimi-K3" TargetMode="External"/><Relationship Id="rId22" Type="http://schemas.openxmlformats.org/officeDocument/2006/relationships/hyperlink" Target="https://huggingface.co/moonshotai/Kimi-K3/raw/main/LICENSE" TargetMode="External"/><Relationship Id="rId23" Type="http://schemas.openxmlformats.org/officeDocument/2006/relationships/hyperlink" Target="https://www.kimi.com/news/kimi-k3" TargetMode="External"/><Relationship Id="rId24" Type="http://schemas.openxmlformats.org/officeDocument/2006/relationships/hyperlink" Target="https://github.com/MoonshotAI/kimi-help-center/blob/master/en-US/agent/over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GLM-5.2 与 Kimi K3 模型结构调研报告</dc:title>
  <dc:subject>开源大模型架构、效率、开放范围与适用场景比较</dc:subject>
  <dc:creator>技术调研</dc:creator>
  <cp:keywords/>
  <dc:description>资料核验截至 2026-08-20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