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073" w:type="dxa"/>
        <w:tblInd w:w="-176" w:type="dxa"/>
        <w:tblBorders>
          <w:top w:val="single" w:sz="24" w:space="0" w:color="auto"/>
          <w:left w:val="none" w:sz="0" w:space="0" w:color="auto"/>
          <w:bottom w:val="single" w:sz="24" w:space="0" w:color="auto"/>
          <w:right w:val="none" w:sz="0" w:space="0" w:color="auto"/>
          <w:insideH w:val="single" w:sz="24" w:space="0" w:color="auto"/>
          <w:insideV w:val="none" w:sz="0" w:space="0" w:color="auto"/>
        </w:tblBorders>
        <w:tblLook w:val="04A0" w:firstRow="1" w:lastRow="0" w:firstColumn="1" w:lastColumn="0" w:noHBand="0" w:noVBand="1"/>
      </w:tblPr>
      <w:tblGrid>
        <w:gridCol w:w="4395"/>
        <w:gridCol w:w="30"/>
        <w:gridCol w:w="4648"/>
      </w:tblGrid>
      <w:tr w:rsidR="009340FC" w:rsidRPr="00D313B7" w14:paraId="0DCF940D" w14:textId="77777777" w:rsidTr="00D71160">
        <w:trPr>
          <w:trHeight w:val="3286"/>
        </w:trPr>
        <w:tc>
          <w:tcPr>
            <w:tcW w:w="4425" w:type="dxa"/>
            <w:gridSpan w:val="2"/>
          </w:tcPr>
          <w:p w14:paraId="1A8D48E1" w14:textId="77777777" w:rsidR="009340FC" w:rsidRPr="00D313B7" w:rsidRDefault="009340FC">
            <w:pPr>
              <w:rPr>
                <w:rFonts w:ascii="Courier" w:hAnsi="Courier"/>
                <w:b/>
              </w:rPr>
            </w:pPr>
            <w:r w:rsidRPr="00D313B7">
              <w:rPr>
                <w:rFonts w:ascii="Courier" w:hAnsi="Courier"/>
                <w:b/>
              </w:rPr>
              <w:t>Dave Henry, Database Admin</w:t>
            </w:r>
          </w:p>
          <w:p w14:paraId="763B1B89" w14:textId="12500E82" w:rsidR="005E5F6B" w:rsidRPr="00D313B7" w:rsidRDefault="005E5F6B">
            <w:pPr>
              <w:rPr>
                <w:rFonts w:ascii="Courier" w:hAnsi="Courier"/>
                <w:b/>
              </w:rPr>
            </w:pPr>
            <w:r w:rsidRPr="00D313B7">
              <w:rPr>
                <w:rFonts w:ascii="Courier" w:hAnsi="Courier"/>
                <w:b/>
                <w:noProof/>
              </w:rPr>
              <w:drawing>
                <wp:inline distT="0" distB="0" distL="0" distR="0" wp14:anchorId="28EC5EA7" wp14:editId="5FA4F7F7">
                  <wp:extent cx="2514086" cy="181610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15053" cy="1816799"/>
                          </a:xfrm>
                          <a:prstGeom prst="rect">
                            <a:avLst/>
                          </a:prstGeom>
                          <a:noFill/>
                          <a:ln>
                            <a:noFill/>
                          </a:ln>
                        </pic:spPr>
                      </pic:pic>
                    </a:graphicData>
                  </a:graphic>
                </wp:inline>
              </w:drawing>
            </w:r>
          </w:p>
        </w:tc>
        <w:tc>
          <w:tcPr>
            <w:tcW w:w="4648" w:type="dxa"/>
          </w:tcPr>
          <w:p w14:paraId="549C5E04" w14:textId="7D4A6070" w:rsidR="009340FC" w:rsidRPr="00D313B7" w:rsidRDefault="00AA08EF" w:rsidP="00040F9F">
            <w:pPr>
              <w:rPr>
                <w:rFonts w:ascii="Courier" w:hAnsi="Courier"/>
              </w:rPr>
            </w:pPr>
            <w:r w:rsidRPr="00D313B7">
              <w:rPr>
                <w:rFonts w:ascii="Courier" w:hAnsi="Courier"/>
              </w:rPr>
              <w:t xml:space="preserve">“The </w:t>
            </w:r>
            <w:r w:rsidR="005A7027">
              <w:rPr>
                <w:rFonts w:ascii="Courier" w:hAnsi="Courier"/>
              </w:rPr>
              <w:t>MySQL</w:t>
            </w:r>
            <w:bookmarkStart w:id="0" w:name="_GoBack"/>
            <w:bookmarkEnd w:id="0"/>
            <w:r w:rsidR="00072D64" w:rsidRPr="00D313B7">
              <w:rPr>
                <w:rFonts w:ascii="Courier" w:hAnsi="Courier"/>
              </w:rPr>
              <w:t xml:space="preserve"> </w:t>
            </w:r>
            <w:r w:rsidRPr="00D313B7">
              <w:rPr>
                <w:rFonts w:ascii="Courier" w:hAnsi="Courier"/>
              </w:rPr>
              <w:t xml:space="preserve">database for </w:t>
            </w:r>
            <w:r w:rsidR="00E33AD1" w:rsidRPr="00D313B7">
              <w:rPr>
                <w:rFonts w:ascii="Courier" w:hAnsi="Courier"/>
              </w:rPr>
              <w:t>Identity</w:t>
            </w:r>
            <w:r w:rsidR="004B207A" w:rsidRPr="00D313B7">
              <w:rPr>
                <w:rFonts w:ascii="Courier" w:hAnsi="Courier"/>
              </w:rPr>
              <w:t xml:space="preserve"> </w:t>
            </w:r>
            <w:r w:rsidR="00E33AD1" w:rsidRPr="00D313B7">
              <w:rPr>
                <w:rFonts w:ascii="Courier" w:hAnsi="Courier"/>
              </w:rPr>
              <w:t>Resolver</w:t>
            </w:r>
            <w:r w:rsidR="00F94FDC" w:rsidRPr="00D313B7">
              <w:rPr>
                <w:rFonts w:ascii="Courier" w:hAnsi="Courier"/>
              </w:rPr>
              <w:t xml:space="preserve"> used to be a real pain to maintain, just a single instance. Now there are two instances, </w:t>
            </w:r>
            <w:r w:rsidR="00040F9F" w:rsidRPr="00D313B7">
              <w:rPr>
                <w:rFonts w:ascii="Courier" w:hAnsi="Courier"/>
              </w:rPr>
              <w:t>a lot less</w:t>
            </w:r>
            <w:r w:rsidR="00F94FDC" w:rsidRPr="00D313B7">
              <w:rPr>
                <w:rFonts w:ascii="Courier" w:hAnsi="Courier"/>
              </w:rPr>
              <w:t xml:space="preserve"> me getting up at 3am to sort it out! Although the replication between the two can get a bit behind. Worst to the worst, we can switch over to the other database server, as in actual failover!”</w:t>
            </w:r>
          </w:p>
        </w:tc>
      </w:tr>
      <w:tr w:rsidR="009340FC" w:rsidRPr="00D313B7" w14:paraId="40F0E3F2" w14:textId="77777777" w:rsidTr="00D71160">
        <w:trPr>
          <w:trHeight w:val="3489"/>
        </w:trPr>
        <w:tc>
          <w:tcPr>
            <w:tcW w:w="4425" w:type="dxa"/>
            <w:gridSpan w:val="2"/>
          </w:tcPr>
          <w:p w14:paraId="6F6F6CF8" w14:textId="77777777" w:rsidR="009340FC" w:rsidRPr="00D313B7" w:rsidRDefault="00F94FDC">
            <w:pPr>
              <w:rPr>
                <w:rFonts w:ascii="Courier" w:hAnsi="Courier"/>
              </w:rPr>
            </w:pPr>
            <w:r w:rsidRPr="00D313B7">
              <w:rPr>
                <w:rFonts w:ascii="Courier" w:hAnsi="Courier"/>
              </w:rPr>
              <w:t xml:space="preserve">“The system has come a long way from the early days, things got a bit hairy at times. I was forever dealing with annoyed clients, but we’ve taken steps to sort it out, adding three times more capacity. We’ve got some big clients on there too, although when I look at the billing figures, all our small clients turn out to the biggest client!” </w:t>
            </w:r>
          </w:p>
        </w:tc>
        <w:tc>
          <w:tcPr>
            <w:tcW w:w="4648" w:type="dxa"/>
          </w:tcPr>
          <w:p w14:paraId="4D649A8D" w14:textId="77777777" w:rsidR="009340FC" w:rsidRPr="00D313B7" w:rsidRDefault="009340FC">
            <w:pPr>
              <w:rPr>
                <w:rFonts w:ascii="Courier" w:hAnsi="Courier"/>
                <w:b/>
              </w:rPr>
            </w:pPr>
            <w:r w:rsidRPr="00D313B7">
              <w:rPr>
                <w:rFonts w:ascii="Courier" w:hAnsi="Courier"/>
                <w:b/>
              </w:rPr>
              <w:t>Karen Tarron, Account Manager</w:t>
            </w:r>
          </w:p>
          <w:p w14:paraId="20B4536B" w14:textId="5DFAB8DC" w:rsidR="005E5F6B" w:rsidRPr="00D313B7" w:rsidRDefault="005E5F6B">
            <w:pPr>
              <w:rPr>
                <w:rFonts w:ascii="Courier" w:hAnsi="Courier"/>
                <w:b/>
              </w:rPr>
            </w:pPr>
            <w:r w:rsidRPr="00D313B7">
              <w:rPr>
                <w:rFonts w:ascii="Courier" w:hAnsi="Courier"/>
                <w:b/>
                <w:noProof/>
              </w:rPr>
              <w:drawing>
                <wp:inline distT="0" distB="0" distL="0" distR="0" wp14:anchorId="031E50FF" wp14:editId="2AA9DE0D">
                  <wp:extent cx="2517580" cy="1834710"/>
                  <wp:effectExtent l="0" t="0" r="0" b="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17580" cy="1834710"/>
                          </a:xfrm>
                          <a:prstGeom prst="rect">
                            <a:avLst/>
                          </a:prstGeom>
                          <a:noFill/>
                          <a:ln>
                            <a:noFill/>
                          </a:ln>
                        </pic:spPr>
                      </pic:pic>
                    </a:graphicData>
                  </a:graphic>
                </wp:inline>
              </w:drawing>
            </w:r>
          </w:p>
        </w:tc>
      </w:tr>
      <w:tr w:rsidR="009340FC" w:rsidRPr="00D313B7" w14:paraId="753CB608" w14:textId="77777777" w:rsidTr="008A451F">
        <w:trPr>
          <w:trHeight w:val="3553"/>
        </w:trPr>
        <w:tc>
          <w:tcPr>
            <w:tcW w:w="4425" w:type="dxa"/>
            <w:gridSpan w:val="2"/>
          </w:tcPr>
          <w:p w14:paraId="6DF26004" w14:textId="77777777" w:rsidR="009340FC" w:rsidRPr="00D313B7" w:rsidRDefault="009340FC">
            <w:pPr>
              <w:rPr>
                <w:rFonts w:ascii="Courier" w:hAnsi="Courier"/>
                <w:b/>
              </w:rPr>
            </w:pPr>
            <w:r w:rsidRPr="00D313B7">
              <w:rPr>
                <w:rFonts w:ascii="Courier" w:hAnsi="Courier"/>
                <w:b/>
              </w:rPr>
              <w:t>George Shephard, Tester</w:t>
            </w:r>
          </w:p>
          <w:p w14:paraId="74659DF7" w14:textId="0C2EBFBB" w:rsidR="005E5F6B" w:rsidRPr="00D313B7" w:rsidRDefault="005E5F6B">
            <w:pPr>
              <w:rPr>
                <w:rFonts w:ascii="Courier" w:hAnsi="Courier"/>
                <w:b/>
              </w:rPr>
            </w:pPr>
            <w:r w:rsidRPr="00D313B7">
              <w:rPr>
                <w:rFonts w:ascii="Courier" w:hAnsi="Courier"/>
                <w:b/>
                <w:noProof/>
              </w:rPr>
              <w:drawing>
                <wp:inline distT="0" distB="0" distL="0" distR="0" wp14:anchorId="6033DC1B" wp14:editId="0D5D771B">
                  <wp:extent cx="2520000" cy="183600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0000" cy="1836000"/>
                          </a:xfrm>
                          <a:prstGeom prst="rect">
                            <a:avLst/>
                          </a:prstGeom>
                          <a:noFill/>
                          <a:ln>
                            <a:noFill/>
                          </a:ln>
                        </pic:spPr>
                      </pic:pic>
                    </a:graphicData>
                  </a:graphic>
                </wp:inline>
              </w:drawing>
            </w:r>
          </w:p>
        </w:tc>
        <w:tc>
          <w:tcPr>
            <w:tcW w:w="4648" w:type="dxa"/>
          </w:tcPr>
          <w:p w14:paraId="796A11E0" w14:textId="7DA55146" w:rsidR="009340FC" w:rsidRPr="00D313B7" w:rsidRDefault="00D21C0E" w:rsidP="00D313B7">
            <w:pPr>
              <w:rPr>
                <w:rFonts w:ascii="Courier" w:hAnsi="Courier"/>
              </w:rPr>
            </w:pPr>
            <w:r w:rsidRPr="00D313B7">
              <w:rPr>
                <w:rFonts w:ascii="Courier" w:hAnsi="Courier"/>
              </w:rPr>
              <w:t>“Adding ID</w:t>
            </w:r>
            <w:r w:rsidR="004B207A" w:rsidRPr="00D313B7">
              <w:rPr>
                <w:rFonts w:ascii="Courier" w:hAnsi="Courier"/>
              </w:rPr>
              <w:t>R</w:t>
            </w:r>
            <w:r w:rsidRPr="00D313B7">
              <w:rPr>
                <w:rFonts w:ascii="Courier" w:hAnsi="Courier"/>
              </w:rPr>
              <w:t xml:space="preserve"> to t</w:t>
            </w:r>
            <w:r w:rsidR="00D313B7">
              <w:rPr>
                <w:rFonts w:ascii="Courier" w:hAnsi="Courier"/>
              </w:rPr>
              <w:t xml:space="preserve">he load balancer was not simple. </w:t>
            </w:r>
            <w:r w:rsidRPr="00D313B7">
              <w:rPr>
                <w:rFonts w:ascii="Courier" w:hAnsi="Courier"/>
              </w:rPr>
              <w:t xml:space="preserve">There were some weird and wonderful rules implemented for a few different clients, plus we needed to change the strategy from round robin to account for the </w:t>
            </w:r>
            <w:r w:rsidR="00072D64" w:rsidRPr="00D313B7">
              <w:rPr>
                <w:rFonts w:ascii="Courier" w:hAnsi="Courier"/>
              </w:rPr>
              <w:t xml:space="preserve">php based </w:t>
            </w:r>
            <w:r w:rsidRPr="00D313B7">
              <w:rPr>
                <w:rFonts w:ascii="Courier" w:hAnsi="Courier"/>
              </w:rPr>
              <w:t>batch file processor</w:t>
            </w:r>
            <w:r w:rsidR="00004182" w:rsidRPr="00D313B7">
              <w:rPr>
                <w:rFonts w:ascii="Courier" w:hAnsi="Courier"/>
              </w:rPr>
              <w:t xml:space="preserve"> only running in one place. However, we managed to churn </w:t>
            </w:r>
            <w:r w:rsidR="00CB2268" w:rsidRPr="00D313B7">
              <w:rPr>
                <w:rFonts w:ascii="Courier" w:hAnsi="Courier"/>
              </w:rPr>
              <w:t>5</w:t>
            </w:r>
            <w:r w:rsidR="00004182" w:rsidRPr="00D313B7">
              <w:rPr>
                <w:rFonts w:ascii="Courier" w:hAnsi="Courier"/>
              </w:rPr>
              <w:t>000 requests an hour through the API, didn’t really bother with web</w:t>
            </w:r>
            <w:r w:rsidR="00486E01" w:rsidRPr="00D313B7">
              <w:rPr>
                <w:rFonts w:ascii="Courier" w:hAnsi="Courier"/>
              </w:rPr>
              <w:t>site</w:t>
            </w:r>
            <w:r w:rsidR="00004182" w:rsidRPr="00D313B7">
              <w:rPr>
                <w:rFonts w:ascii="Courier" w:hAnsi="Courier"/>
              </w:rPr>
              <w:t xml:space="preserve"> performance, deprioritized…”</w:t>
            </w:r>
          </w:p>
        </w:tc>
      </w:tr>
      <w:tr w:rsidR="00831D3B" w:rsidRPr="00D313B7" w14:paraId="186CD678" w14:textId="77777777" w:rsidTr="00D71160">
        <w:trPr>
          <w:trHeight w:val="2829"/>
        </w:trPr>
        <w:tc>
          <w:tcPr>
            <w:tcW w:w="4395" w:type="dxa"/>
          </w:tcPr>
          <w:p w14:paraId="239854FD" w14:textId="3D392CB9" w:rsidR="00831D3B" w:rsidRPr="00D313B7" w:rsidRDefault="00831D3B" w:rsidP="00AA47F8">
            <w:pPr>
              <w:rPr>
                <w:rFonts w:ascii="Courier" w:hAnsi="Courier"/>
              </w:rPr>
            </w:pPr>
            <w:r w:rsidRPr="00D313B7">
              <w:rPr>
                <w:rFonts w:ascii="Courier" w:hAnsi="Courier"/>
              </w:rPr>
              <w:t xml:space="preserve">“I came into the development team after the initial build and boy was there a lot of problems to solve! </w:t>
            </w:r>
            <w:r w:rsidR="00232E52">
              <w:rPr>
                <w:rFonts w:ascii="Courier" w:hAnsi="Courier"/>
              </w:rPr>
              <w:t xml:space="preserve">They really needed a Perl person as well for the tricky batch processor. </w:t>
            </w:r>
            <w:r w:rsidRPr="00D313B7">
              <w:rPr>
                <w:rFonts w:ascii="Courier" w:hAnsi="Courier"/>
              </w:rPr>
              <w:t>Two webservers and no database failover, not enough. And the caching we never did crack, still one instance per Webserver…”</w:t>
            </w:r>
          </w:p>
        </w:tc>
        <w:tc>
          <w:tcPr>
            <w:tcW w:w="4678" w:type="dxa"/>
            <w:gridSpan w:val="2"/>
          </w:tcPr>
          <w:p w14:paraId="5E7784EE" w14:textId="77777777" w:rsidR="00831D3B" w:rsidRPr="00D313B7" w:rsidRDefault="00831D3B" w:rsidP="00AA47F8">
            <w:pPr>
              <w:rPr>
                <w:rFonts w:ascii="Courier" w:hAnsi="Courier"/>
                <w:b/>
              </w:rPr>
            </w:pPr>
            <w:r w:rsidRPr="00D313B7">
              <w:rPr>
                <w:rFonts w:ascii="Courier" w:hAnsi="Courier"/>
                <w:b/>
              </w:rPr>
              <w:t>John Tilly, Developer</w:t>
            </w:r>
          </w:p>
          <w:p w14:paraId="26013C23" w14:textId="2EA2B086" w:rsidR="005E5F6B" w:rsidRPr="00D313B7" w:rsidRDefault="005E5F6B" w:rsidP="00AA47F8">
            <w:pPr>
              <w:rPr>
                <w:rFonts w:ascii="Courier" w:hAnsi="Courier"/>
                <w:b/>
              </w:rPr>
            </w:pPr>
            <w:r w:rsidRPr="00D313B7">
              <w:rPr>
                <w:rFonts w:ascii="Courier" w:hAnsi="Courier"/>
                <w:b/>
                <w:noProof/>
              </w:rPr>
              <w:drawing>
                <wp:inline distT="0" distB="0" distL="0" distR="0" wp14:anchorId="29F479A5" wp14:editId="05A3849F">
                  <wp:extent cx="2520000" cy="1799785"/>
                  <wp:effectExtent l="0" t="0" r="0" b="381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20000" cy="1799785"/>
                          </a:xfrm>
                          <a:prstGeom prst="rect">
                            <a:avLst/>
                          </a:prstGeom>
                          <a:noFill/>
                          <a:ln>
                            <a:noFill/>
                          </a:ln>
                        </pic:spPr>
                      </pic:pic>
                    </a:graphicData>
                  </a:graphic>
                </wp:inline>
              </w:drawing>
            </w:r>
          </w:p>
        </w:tc>
      </w:tr>
      <w:tr w:rsidR="00831D3B" w:rsidRPr="00D313B7" w14:paraId="7FDBBC40" w14:textId="77777777" w:rsidTr="008A451F">
        <w:tc>
          <w:tcPr>
            <w:tcW w:w="4395" w:type="dxa"/>
          </w:tcPr>
          <w:p w14:paraId="2DDBC001" w14:textId="77777777" w:rsidR="00831D3B" w:rsidRPr="00D313B7" w:rsidRDefault="00831D3B" w:rsidP="00AA47F8">
            <w:pPr>
              <w:rPr>
                <w:rFonts w:ascii="Courier" w:hAnsi="Courier"/>
                <w:b/>
              </w:rPr>
            </w:pPr>
            <w:r w:rsidRPr="00D313B7">
              <w:rPr>
                <w:rFonts w:ascii="Courier" w:hAnsi="Courier"/>
                <w:b/>
              </w:rPr>
              <w:lastRenderedPageBreak/>
              <w:t>Bob Ronsdon, System Admin</w:t>
            </w:r>
          </w:p>
          <w:p w14:paraId="226C8593" w14:textId="085299AA" w:rsidR="00AA47F8" w:rsidRPr="00D313B7" w:rsidRDefault="00AA47F8" w:rsidP="00AA47F8">
            <w:pPr>
              <w:rPr>
                <w:rFonts w:ascii="Courier" w:hAnsi="Courier"/>
                <w:b/>
              </w:rPr>
            </w:pPr>
            <w:r w:rsidRPr="00D313B7">
              <w:rPr>
                <w:rFonts w:ascii="Courier" w:hAnsi="Courier"/>
                <w:b/>
                <w:noProof/>
              </w:rPr>
              <w:drawing>
                <wp:inline distT="0" distB="0" distL="0" distR="0" wp14:anchorId="77BBAA13" wp14:editId="39109521">
                  <wp:extent cx="2497313" cy="1836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97313" cy="1836225"/>
                          </a:xfrm>
                          <a:prstGeom prst="rect">
                            <a:avLst/>
                          </a:prstGeom>
                          <a:noFill/>
                          <a:ln>
                            <a:noFill/>
                          </a:ln>
                        </pic:spPr>
                      </pic:pic>
                    </a:graphicData>
                  </a:graphic>
                </wp:inline>
              </w:drawing>
            </w:r>
          </w:p>
        </w:tc>
        <w:tc>
          <w:tcPr>
            <w:tcW w:w="4678" w:type="dxa"/>
            <w:gridSpan w:val="2"/>
          </w:tcPr>
          <w:p w14:paraId="384D12EC" w14:textId="330082A6" w:rsidR="00831D3B" w:rsidRPr="00D313B7" w:rsidRDefault="00831D3B" w:rsidP="004B362E">
            <w:pPr>
              <w:rPr>
                <w:rFonts w:ascii="Courier" w:hAnsi="Courier"/>
              </w:rPr>
            </w:pPr>
            <w:r w:rsidRPr="00D313B7">
              <w:rPr>
                <w:rFonts w:ascii="Courier" w:hAnsi="Courier"/>
              </w:rPr>
              <w:t xml:space="preserve">“I’ve been here since IDR </w:t>
            </w:r>
            <w:r w:rsidR="00D71160">
              <w:rPr>
                <w:rFonts w:ascii="Courier" w:hAnsi="Courier"/>
              </w:rPr>
              <w:t>started</w:t>
            </w:r>
            <w:r w:rsidRPr="00D313B7">
              <w:rPr>
                <w:rFonts w:ascii="Courier" w:hAnsi="Courier"/>
              </w:rPr>
              <w:t>, bit of a proof of concept which became a multi-million dollar system! At least when there was only one web server you knew where to look! But adding two more has helped overall and we have basic alerting. That said, the batch processor only running on the first webserver means I usually know where to look…”</w:t>
            </w:r>
          </w:p>
        </w:tc>
      </w:tr>
      <w:tr w:rsidR="00831D3B" w:rsidRPr="00D313B7" w14:paraId="0AB47CF3" w14:textId="77777777" w:rsidTr="008A451F">
        <w:tc>
          <w:tcPr>
            <w:tcW w:w="4395" w:type="dxa"/>
          </w:tcPr>
          <w:p w14:paraId="2BD1DF42" w14:textId="4A2BE011" w:rsidR="00831D3B" w:rsidRPr="00D313B7" w:rsidRDefault="00831D3B" w:rsidP="00D313B7">
            <w:pPr>
              <w:rPr>
                <w:rFonts w:ascii="Courier" w:hAnsi="Courier"/>
              </w:rPr>
            </w:pPr>
            <w:r w:rsidRPr="00D313B7">
              <w:rPr>
                <w:rFonts w:ascii="Courier" w:hAnsi="Courier"/>
              </w:rPr>
              <w:t>“Life got stressful when we add</w:t>
            </w:r>
            <w:r w:rsidR="00072D64" w:rsidRPr="00D313B7">
              <w:rPr>
                <w:rFonts w:ascii="Courier" w:hAnsi="Courier"/>
              </w:rPr>
              <w:t>ed</w:t>
            </w:r>
            <w:r w:rsidRPr="00D313B7">
              <w:rPr>
                <w:rFonts w:ascii="Courier" w:hAnsi="Courier"/>
              </w:rPr>
              <w:t xml:space="preserve"> the ability to call the API, rather than just having website customers. Growth exploded then, and I got very busy with customers reporting poor performance, or no performance! We are on top of it now, got </w:t>
            </w:r>
            <w:r w:rsidR="00072D64" w:rsidRPr="00D313B7">
              <w:rPr>
                <w:rFonts w:ascii="Courier" w:hAnsi="Courier"/>
              </w:rPr>
              <w:t>3</w:t>
            </w:r>
            <w:r w:rsidRPr="00D313B7">
              <w:rPr>
                <w:rFonts w:ascii="Courier" w:hAnsi="Courier"/>
              </w:rPr>
              <w:t xml:space="preserve"> webservers whatever that means! I hoped that for the big events we might be able to add more, but as usual with IT, it ain’t that simple.”</w:t>
            </w:r>
          </w:p>
        </w:tc>
        <w:tc>
          <w:tcPr>
            <w:tcW w:w="4678" w:type="dxa"/>
            <w:gridSpan w:val="2"/>
          </w:tcPr>
          <w:p w14:paraId="4DCF73FF" w14:textId="77777777" w:rsidR="00831D3B" w:rsidRPr="00D313B7" w:rsidRDefault="00831D3B" w:rsidP="00AA47F8">
            <w:pPr>
              <w:rPr>
                <w:rFonts w:ascii="Courier" w:hAnsi="Courier"/>
                <w:b/>
              </w:rPr>
            </w:pPr>
            <w:r w:rsidRPr="00D313B7">
              <w:rPr>
                <w:rFonts w:ascii="Courier" w:hAnsi="Courier"/>
                <w:b/>
              </w:rPr>
              <w:t>Phil Wright, Sales Manager</w:t>
            </w:r>
          </w:p>
          <w:p w14:paraId="2D6EB222" w14:textId="2D6FE998" w:rsidR="00BB3715" w:rsidRPr="00D313B7" w:rsidRDefault="00BB3715" w:rsidP="00AA47F8">
            <w:pPr>
              <w:rPr>
                <w:rFonts w:ascii="Courier" w:hAnsi="Courier"/>
                <w:b/>
              </w:rPr>
            </w:pPr>
            <w:r w:rsidRPr="00D313B7">
              <w:rPr>
                <w:rFonts w:ascii="Courier" w:hAnsi="Courier"/>
                <w:b/>
                <w:noProof/>
              </w:rPr>
              <w:drawing>
                <wp:inline distT="0" distB="0" distL="0" distR="0" wp14:anchorId="614E38B9" wp14:editId="0744D318">
                  <wp:extent cx="2518215" cy="1832805"/>
                  <wp:effectExtent l="0" t="0" r="0" b="0"/>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8215" cy="1832805"/>
                          </a:xfrm>
                          <a:prstGeom prst="rect">
                            <a:avLst/>
                          </a:prstGeom>
                          <a:noFill/>
                          <a:ln>
                            <a:noFill/>
                          </a:ln>
                        </pic:spPr>
                      </pic:pic>
                    </a:graphicData>
                  </a:graphic>
                </wp:inline>
              </w:drawing>
            </w:r>
          </w:p>
        </w:tc>
      </w:tr>
      <w:tr w:rsidR="00831D3B" w:rsidRPr="00D313B7" w14:paraId="4ECEEC01" w14:textId="77777777" w:rsidTr="008A451F">
        <w:tc>
          <w:tcPr>
            <w:tcW w:w="4395" w:type="dxa"/>
          </w:tcPr>
          <w:p w14:paraId="41A788C9" w14:textId="77777777" w:rsidR="00831D3B" w:rsidRPr="00D313B7" w:rsidRDefault="00BB3715" w:rsidP="00AA47F8">
            <w:pPr>
              <w:rPr>
                <w:rFonts w:ascii="Courier" w:hAnsi="Courier"/>
                <w:b/>
              </w:rPr>
            </w:pPr>
            <w:r w:rsidRPr="00D313B7">
              <w:rPr>
                <w:rFonts w:ascii="Courier" w:hAnsi="Courier"/>
                <w:b/>
              </w:rPr>
              <w:t xml:space="preserve">Tom Stanford, Solution </w:t>
            </w:r>
            <w:r w:rsidR="00831D3B" w:rsidRPr="00D313B7">
              <w:rPr>
                <w:rFonts w:ascii="Courier" w:hAnsi="Courier"/>
                <w:b/>
              </w:rPr>
              <w:t>Architect</w:t>
            </w:r>
          </w:p>
          <w:p w14:paraId="492A2B67" w14:textId="6B7D44DA" w:rsidR="00AB4747" w:rsidRPr="00D313B7" w:rsidRDefault="00AB4747" w:rsidP="00AA47F8">
            <w:pPr>
              <w:rPr>
                <w:rFonts w:ascii="Courier" w:hAnsi="Courier"/>
                <w:b/>
              </w:rPr>
            </w:pPr>
            <w:r w:rsidRPr="00D313B7">
              <w:rPr>
                <w:rFonts w:ascii="Courier" w:hAnsi="Courier"/>
                <w:b/>
                <w:noProof/>
              </w:rPr>
              <w:drawing>
                <wp:inline distT="0" distB="0" distL="0" distR="0" wp14:anchorId="09306D29" wp14:editId="09932488">
                  <wp:extent cx="2286000" cy="1701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0" cy="1701800"/>
                          </a:xfrm>
                          <a:prstGeom prst="rect">
                            <a:avLst/>
                          </a:prstGeom>
                          <a:noFill/>
                          <a:ln>
                            <a:noFill/>
                          </a:ln>
                        </pic:spPr>
                      </pic:pic>
                    </a:graphicData>
                  </a:graphic>
                </wp:inline>
              </w:drawing>
            </w:r>
          </w:p>
        </w:tc>
        <w:tc>
          <w:tcPr>
            <w:tcW w:w="4678" w:type="dxa"/>
            <w:gridSpan w:val="2"/>
          </w:tcPr>
          <w:p w14:paraId="71CFDFF0" w14:textId="77777777" w:rsidR="00831D3B" w:rsidRPr="00D313B7" w:rsidRDefault="00831D3B" w:rsidP="00AA47F8">
            <w:pPr>
              <w:rPr>
                <w:rFonts w:ascii="Courier" w:hAnsi="Courier"/>
              </w:rPr>
            </w:pPr>
            <w:r w:rsidRPr="00D313B7">
              <w:rPr>
                <w:rFonts w:ascii="Courier" w:hAnsi="Courier"/>
              </w:rPr>
              <w:t>“I feel a lot better now that internal firewall is in place between ID Resolver and our Credit Search system. Sometimes the external firewall just isn’t enough. Plus you know what traffic is coming through and can monitor it. We can predict how our other systems will be impacted as IDR has consistent number of searches every day of the week.”</w:t>
            </w:r>
          </w:p>
        </w:tc>
      </w:tr>
      <w:tr w:rsidR="00831D3B" w:rsidRPr="00D313B7" w14:paraId="194C82AA" w14:textId="77777777" w:rsidTr="0091051F">
        <w:trPr>
          <w:trHeight w:val="2451"/>
        </w:trPr>
        <w:tc>
          <w:tcPr>
            <w:tcW w:w="4395" w:type="dxa"/>
          </w:tcPr>
          <w:p w14:paraId="7340B8E7" w14:textId="103FCCE9" w:rsidR="00831D3B" w:rsidRPr="00D313B7" w:rsidRDefault="00831D3B" w:rsidP="00D313B7">
            <w:pPr>
              <w:rPr>
                <w:rFonts w:ascii="Courier" w:hAnsi="Courier"/>
              </w:rPr>
            </w:pPr>
            <w:r w:rsidRPr="00D313B7">
              <w:rPr>
                <w:rFonts w:ascii="Courier" w:hAnsi="Courier"/>
              </w:rPr>
              <w:t xml:space="preserve">“We were left significantly at risk with a database with no failover, implementing that was a major step forward. Such was the pressure to implement and become compliant, I would however describe the testing </w:t>
            </w:r>
            <w:r w:rsidR="00072D64" w:rsidRPr="00D313B7">
              <w:rPr>
                <w:rFonts w:ascii="Courier" w:hAnsi="Courier"/>
              </w:rPr>
              <w:t xml:space="preserve">as sub-optimal. And as for the main implementation in php, again sub-optimal. </w:t>
            </w:r>
            <w:r w:rsidRPr="00D313B7">
              <w:rPr>
                <w:rFonts w:ascii="Courier" w:hAnsi="Courier"/>
              </w:rPr>
              <w:t>”</w:t>
            </w:r>
          </w:p>
        </w:tc>
        <w:tc>
          <w:tcPr>
            <w:tcW w:w="4678" w:type="dxa"/>
            <w:gridSpan w:val="2"/>
          </w:tcPr>
          <w:p w14:paraId="5301FDA8" w14:textId="77777777" w:rsidR="00831D3B" w:rsidRPr="00D313B7" w:rsidRDefault="00831D3B" w:rsidP="005E5F6B">
            <w:pPr>
              <w:rPr>
                <w:rFonts w:ascii="Courier" w:hAnsi="Courier"/>
                <w:b/>
              </w:rPr>
            </w:pPr>
            <w:r w:rsidRPr="00D313B7">
              <w:rPr>
                <w:rFonts w:ascii="Courier" w:hAnsi="Courier"/>
                <w:b/>
              </w:rPr>
              <w:t>Peter De Courcey, Director</w:t>
            </w:r>
          </w:p>
          <w:p w14:paraId="15026E41" w14:textId="6F484EB7" w:rsidR="00AB4747" w:rsidRPr="00D313B7" w:rsidRDefault="00AB4747" w:rsidP="005E5F6B">
            <w:pPr>
              <w:rPr>
                <w:rFonts w:ascii="Courier" w:hAnsi="Courier"/>
                <w:b/>
              </w:rPr>
            </w:pPr>
            <w:r w:rsidRPr="00D313B7">
              <w:rPr>
                <w:rFonts w:ascii="Courier" w:hAnsi="Courier"/>
                <w:b/>
                <w:noProof/>
              </w:rPr>
              <w:drawing>
                <wp:inline distT="0" distB="0" distL="0" distR="0" wp14:anchorId="0DF15C09" wp14:editId="3854BFB6">
                  <wp:extent cx="2519240" cy="1690565"/>
                  <wp:effectExtent l="0" t="0" r="0" b="11430"/>
                  <wp:docPr id="15"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19240" cy="1690565"/>
                          </a:xfrm>
                          <a:prstGeom prst="rect">
                            <a:avLst/>
                          </a:prstGeom>
                          <a:noFill/>
                          <a:ln>
                            <a:noFill/>
                          </a:ln>
                        </pic:spPr>
                      </pic:pic>
                    </a:graphicData>
                  </a:graphic>
                </wp:inline>
              </w:drawing>
            </w:r>
          </w:p>
        </w:tc>
      </w:tr>
    </w:tbl>
    <w:p w14:paraId="05D6BAD3" w14:textId="77777777" w:rsidR="00040F9F" w:rsidRPr="00D313B7" w:rsidRDefault="00040F9F" w:rsidP="00AB4747">
      <w:pPr>
        <w:rPr>
          <w:rFonts w:ascii="Courier" w:hAnsi="Courier"/>
        </w:rPr>
      </w:pPr>
    </w:p>
    <w:sectPr w:rsidR="00040F9F" w:rsidRPr="00D313B7" w:rsidSect="007130AC">
      <w:headerReference w:type="default" r:id="rId14"/>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5AC7F1" w14:textId="77777777" w:rsidR="003A5DED" w:rsidRDefault="003A5DED" w:rsidP="0091051F">
      <w:r>
        <w:separator/>
      </w:r>
    </w:p>
  </w:endnote>
  <w:endnote w:type="continuationSeparator" w:id="0">
    <w:p w14:paraId="2E0B021C" w14:textId="77777777" w:rsidR="003A5DED" w:rsidRDefault="003A5DED" w:rsidP="009105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w:panose1 w:val="00000000000000000000"/>
    <w:charset w:val="00"/>
    <w:family w:val="auto"/>
    <w:pitch w:val="variable"/>
    <w:sig w:usb0="00000003" w:usb1="00000000" w:usb2="00000000" w:usb3="00000000" w:csb0="00000003"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B47C2A" w14:textId="77777777" w:rsidR="003A5DED" w:rsidRDefault="003A5DED" w:rsidP="0091051F">
      <w:r>
        <w:separator/>
      </w:r>
    </w:p>
  </w:footnote>
  <w:footnote w:type="continuationSeparator" w:id="0">
    <w:p w14:paraId="268B375D" w14:textId="77777777" w:rsidR="003A5DED" w:rsidRDefault="003A5DED" w:rsidP="009105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9101FC" w14:textId="299D7486" w:rsidR="00D71160" w:rsidRDefault="00D71160" w:rsidP="0091051F">
    <w:pPr>
      <w:rPr>
        <w:rFonts w:ascii="Courier" w:hAnsi="Courier"/>
      </w:rPr>
    </w:pPr>
    <w:r w:rsidRPr="004108CB">
      <w:rPr>
        <w:rFonts w:ascii="Courier" w:hAnsi="Courier"/>
      </w:rPr>
      <w:t xml:space="preserve">Identity Resolver - </w:t>
    </w:r>
    <w:r>
      <w:rPr>
        <w:rFonts w:ascii="Courier" w:hAnsi="Courier"/>
      </w:rPr>
      <w:t>Anecdotal</w:t>
    </w:r>
    <w:r w:rsidRPr="004108CB">
      <w:rPr>
        <w:rFonts w:ascii="Courier" w:hAnsi="Courier"/>
      </w:rPr>
      <w:t xml:space="preserve"> </w:t>
    </w:r>
    <w:r>
      <w:rPr>
        <w:rFonts w:ascii="Courier" w:hAnsi="Courier"/>
      </w:rPr>
      <w:t>Evidence</w:t>
    </w:r>
  </w:p>
  <w:p w14:paraId="6B05D239" w14:textId="4524215C" w:rsidR="00D71160" w:rsidRPr="00B250B3" w:rsidRDefault="00D71160" w:rsidP="0091051F">
    <w:pPr>
      <w:rPr>
        <w:rFonts w:ascii="Courier" w:hAnsi="Courier"/>
      </w:rPr>
    </w:pPr>
    <w:r>
      <w:rPr>
        <w:rFonts w:ascii="Courier" w:hAnsi="Courier"/>
      </w:rPr>
      <w:t>Present Day…</w:t>
    </w:r>
  </w:p>
  <w:p w14:paraId="3C100140" w14:textId="77777777" w:rsidR="00D71160" w:rsidRPr="0091051F" w:rsidRDefault="00D71160">
    <w:pPr>
      <w:pStyle w:val="Header"/>
      <w:rPr>
        <w:rFonts w:ascii="Courier" w:hAnsi="Courier"/>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6E18"/>
    <w:rsid w:val="00004182"/>
    <w:rsid w:val="00040F9F"/>
    <w:rsid w:val="00072D64"/>
    <w:rsid w:val="000D739B"/>
    <w:rsid w:val="001E1647"/>
    <w:rsid w:val="00232619"/>
    <w:rsid w:val="00232E52"/>
    <w:rsid w:val="00316AE0"/>
    <w:rsid w:val="00324F26"/>
    <w:rsid w:val="003A5DED"/>
    <w:rsid w:val="00460C6A"/>
    <w:rsid w:val="00486E01"/>
    <w:rsid w:val="004B207A"/>
    <w:rsid w:val="004B362E"/>
    <w:rsid w:val="005A7027"/>
    <w:rsid w:val="005E5F6B"/>
    <w:rsid w:val="007130AC"/>
    <w:rsid w:val="00752740"/>
    <w:rsid w:val="00755107"/>
    <w:rsid w:val="00831D3B"/>
    <w:rsid w:val="00832C17"/>
    <w:rsid w:val="00865AEF"/>
    <w:rsid w:val="008A451F"/>
    <w:rsid w:val="008C75A9"/>
    <w:rsid w:val="0091051F"/>
    <w:rsid w:val="009340FC"/>
    <w:rsid w:val="00976E18"/>
    <w:rsid w:val="009907E3"/>
    <w:rsid w:val="009E15AB"/>
    <w:rsid w:val="00AA08EF"/>
    <w:rsid w:val="00AA47F8"/>
    <w:rsid w:val="00AB4747"/>
    <w:rsid w:val="00BB3715"/>
    <w:rsid w:val="00BF43EA"/>
    <w:rsid w:val="00CB2268"/>
    <w:rsid w:val="00D21C0E"/>
    <w:rsid w:val="00D313B7"/>
    <w:rsid w:val="00D71160"/>
    <w:rsid w:val="00D8371A"/>
    <w:rsid w:val="00DC22C4"/>
    <w:rsid w:val="00E33AD1"/>
    <w:rsid w:val="00E74E6B"/>
    <w:rsid w:val="00F94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2DA9BE0"/>
  <w14:defaultImageDpi w14:val="300"/>
  <w15:docId w15:val="{2C216AF2-DA17-6945-8EF1-09E766FE6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340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A47F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47F8"/>
    <w:rPr>
      <w:rFonts w:ascii="Lucida Grande" w:hAnsi="Lucida Grande" w:cs="Lucida Grande"/>
      <w:sz w:val="18"/>
      <w:szCs w:val="18"/>
    </w:rPr>
  </w:style>
  <w:style w:type="paragraph" w:styleId="Header">
    <w:name w:val="header"/>
    <w:basedOn w:val="Normal"/>
    <w:link w:val="HeaderChar"/>
    <w:uiPriority w:val="99"/>
    <w:unhideWhenUsed/>
    <w:rsid w:val="0091051F"/>
    <w:pPr>
      <w:tabs>
        <w:tab w:val="center" w:pos="4320"/>
        <w:tab w:val="right" w:pos="8640"/>
      </w:tabs>
    </w:pPr>
  </w:style>
  <w:style w:type="character" w:customStyle="1" w:styleId="HeaderChar">
    <w:name w:val="Header Char"/>
    <w:basedOn w:val="DefaultParagraphFont"/>
    <w:link w:val="Header"/>
    <w:uiPriority w:val="99"/>
    <w:rsid w:val="0091051F"/>
  </w:style>
  <w:style w:type="paragraph" w:styleId="Footer">
    <w:name w:val="footer"/>
    <w:basedOn w:val="Normal"/>
    <w:link w:val="FooterChar"/>
    <w:uiPriority w:val="99"/>
    <w:unhideWhenUsed/>
    <w:rsid w:val="0091051F"/>
    <w:pPr>
      <w:tabs>
        <w:tab w:val="center" w:pos="4320"/>
        <w:tab w:val="right" w:pos="8640"/>
      </w:tabs>
    </w:pPr>
  </w:style>
  <w:style w:type="character" w:customStyle="1" w:styleId="FooterChar">
    <w:name w:val="Footer Char"/>
    <w:basedOn w:val="DefaultParagraphFont"/>
    <w:link w:val="Footer"/>
    <w:uiPriority w:val="99"/>
    <w:rsid w:val="009105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443</Words>
  <Characters>2530</Characters>
  <Application>Microsoft Office Word</Application>
  <DocSecurity>0</DocSecurity>
  <Lines>21</Lines>
  <Paragraphs>5</Paragraphs>
  <ScaleCrop>false</ScaleCrop>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Ashley Winter</cp:lastModifiedBy>
  <cp:revision>8</cp:revision>
  <cp:lastPrinted>2016-02-26T11:27:00Z</cp:lastPrinted>
  <dcterms:created xsi:type="dcterms:W3CDTF">2016-02-26T11:27:00Z</dcterms:created>
  <dcterms:modified xsi:type="dcterms:W3CDTF">2018-05-28T13:24:00Z</dcterms:modified>
</cp:coreProperties>
</file>