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48"/>
          <w:szCs w:val="48"/>
        </w:rPr>
        <w:t xml:space="preserve">ELI</w:t>
      </w:r>
    </w:p>
    <w:p>
      <w:pPr>
        <w:spacing w:after="300"/>
        <w:jc w:val="center"/>
      </w:pPr>
      <w:r>
        <w:rPr>
          <w:i/>
          <w:iCs/>
          <w:sz w:val="24"/>
          <w:szCs w:val="24"/>
        </w:rPr>
        <w:t xml:space="preserve">Essential Life Intelligence</w:t>
      </w:r>
    </w:p>
    <w:p>
      <w:pPr>
        <w:jc w:val="center"/>
      </w:pPr>
      <w:r>
        <w:rPr>
          <w:b/>
          <w:bCs/>
          <w:sz w:val="28"/>
          <w:szCs w:val="28"/>
        </w:rPr>
        <w:t xml:space="preserve">BITÁCORA Nº 19 — DECISIONES DE LA SESIÓN 027 (CONTINUACIÓN)</w:t>
      </w:r>
    </w:p>
    <w:p>
      <w:pPr>
        <w:spacing w:after="200"/>
        <w:jc w:val="center"/>
      </w:pPr>
      <w:r>
        <w:rPr>
          <w:i/>
          <w:iCs/>
        </w:rPr>
        <w:t xml:space="preserve">27 de junio de 2026 · Seudónimo creador: Prometheus</w:t>
      </w:r>
    </w:p>
    <w:p>
      <w:pPr>
        <w:spacing w:after="300"/>
        <w:jc w:val="center"/>
      </w:pPr>
      <w:r>
        <w:rPr>
          <w:i/>
          <w:iCs/>
          <w:sz w:val="18"/>
          <w:szCs w:val="18"/>
        </w:rPr>
        <w:t xml:space="preserve">Continuación de la Bitácora Nº 18, misma sesión. Registra solo decisiones con su razonamiento — no tareas ni detalle técnico de implementación.</w:t>
      </w:r>
    </w:p>
    <w:p>
      <w:pPr>
        <w:pBdr>
          <w:bottom w:val="single" w:color="2E75B6" w:sz="6" w:space="1"/>
        </w:pBdr>
        <w:spacing w:after="200"/>
      </w:pPr>
    </w:p>
    <w:p>
      <w:pPr>
        <w:pStyle w:val="Heading1"/>
      </w:pPr>
      <w:r>
        <w:t xml:space="preserve">1. SISTEMA DE VERIFICACIÓN DE NOTICIAS ("CHECK AMARILLO") — APARCADO</w:t>
      </w:r>
    </w:p>
    <w:p>
      <w:pPr>
        <w:spacing w:after="160"/>
      </w:pPr>
      <w:r>
        <w:rPr>
          <w:b/>
          <w:bCs/>
        </w:rPr>
        <w:t xml:space="preserve">Decisión: </w:t>
      </w:r>
      <w:r>
        <w:t xml:space="preserve">no se construye para el lanzamiento. Se aparca sin fecha, no se descarta de forma permanente.</w:t>
      </w:r>
    </w:p>
    <w:p>
      <w:pPr>
        <w:spacing w:after="160"/>
      </w:pPr>
      <w:r>
        <w:rPr>
          <w:b/>
          <w:bCs/>
        </w:rPr>
        <w:t xml:space="preserve">Razonamiento: </w:t>
      </w:r>
      <w:r>
        <w:t xml:space="preserve">se diseñó una versión viable (marcado comunitario + consulta a Google Fact Check Tools solo al superar un umbral, sin coste de IA por publicación), pero se decide retirarlo de la lista activa por prioridad, para no competir por tiempo con piezas de seguridad más urgentes.</w:t>
      </w:r>
    </w:p>
    <w:p>
      <w:pPr>
        <w:pStyle w:val="Heading1"/>
      </w:pPr>
      <w:r>
        <w:t xml:space="preserve">2. EVASIÓN DE BANEOS Y RESISTENCIA A ATAQUES SYBIL</w:t>
      </w:r>
    </w:p>
    <w:p>
      <w:pPr>
        <w:pStyle w:val="Heading2"/>
      </w:pPr>
      <w:r>
        <w:t xml:space="preserve">2.1 Descartado: vincular clave criptográfica a la huella digital</w:t>
      </w:r>
    </w:p>
    <w:p>
      <w:pPr>
        <w:spacing w:after="160"/>
      </w:pPr>
      <w:r>
        <w:rPr>
          <w:b/>
          <w:bCs/>
        </w:rPr>
        <w:t xml:space="preserve">Decisión: </w:t>
      </w:r>
      <w:r>
        <w:t xml:space="preserve">no se intenta atar una clave de servidor a la huella del usuario para impedir que alguien expulsado vuelva con otro dedo.</w:t>
      </w:r>
    </w:p>
    <w:p>
      <w:pPr>
        <w:spacing w:after="160"/>
      </w:pPr>
      <w:r>
        <w:rPr>
          <w:b/>
          <w:bCs/>
        </w:rPr>
        <w:t xml:space="preserve">Razonamiento: </w:t>
      </w:r>
      <w:r>
        <w:t xml:space="preserve">no es técnicamente posible — ni Android ni iOS exponen el dato biométrico ni una clave derivada de él a ninguna app, se queda encerrado en el chip de seguridad del propio móvil. Y aunque fuera posible, equivaldría a construir una base de datos biométrica de identificación de personas en el servidor — dato de categoría especial bajo RGPD, y exactamente el tipo de riesgo de identificación que toda la arquitectura de ELI evita en otros frentes.</w:t>
      </w:r>
    </w:p>
    <w:p>
      <w:pPr>
        <w:pStyle w:val="Heading2"/>
      </w:pPr>
      <w:r>
        <w:t xml:space="preserve">2.2 Descartado: número de teléfono obligatorio en el registro</w:t>
      </w:r>
    </w:p>
    <w:p>
      <w:pPr>
        <w:spacing w:after="160"/>
      </w:pPr>
      <w:r>
        <w:rPr>
          <w:b/>
          <w:bCs/>
        </w:rPr>
        <w:t xml:space="preserve">Decisión: </w:t>
      </w:r>
      <w:r>
        <w:t xml:space="preserve">no se exige teléfono para crear cuenta, ni siquiera como medida anti-evasión.</w:t>
      </w:r>
    </w:p>
    <w:p>
      <w:pPr>
        <w:spacing w:after="160"/>
      </w:pPr>
      <w:r>
        <w:rPr>
          <w:b/>
          <w:bCs/>
        </w:rPr>
        <w:t xml:space="preserve">Razonamiento (riesgo identificado): </w:t>
      </w:r>
      <w:r>
        <w:t xml:space="preserve">en numerosos países, comprar una SIM exige registro con documento de identidad por ley. Exigir teléfono para el registro abriría una vía directa para que un gobierno persecutor vincule la cuenta de un usuario con su identidad real solicitando el dato al operador — el mismo riesgo que toda la arquitectura de anonimato busca evitar, aplicado esta vez a los usuarios, no solo a Prometheus.</w:t>
      </w:r>
    </w:p>
    <w:p>
      <w:pPr>
        <w:pStyle w:val="Heading2"/>
      </w:pPr>
      <w:r>
        <w:t xml:space="preserve">2.3 Adoptado: baneo por clave pública, antigüedad de clave, e invitación/aval</w:t>
      </w:r>
    </w:p>
    <w:p>
      <w:pPr>
        <w:spacing w:after="160"/>
      </w:pPr>
      <w:r>
        <w:rPr>
          <w:b/>
          <w:bCs/>
        </w:rPr>
        <w:t xml:space="preserve">Decisión: </w:t>
      </w:r>
      <w:r>
        <w:t xml:space="preserve">el registro sigue siendo solo una clave criptográfica local, sin teléfono ni email. La gestión de expulsiones y de resistencia a Sybil se hace con tres mecanismos combinados: (1) lista de claves públicas expulsadas en el propio relay GunJS, que deja de sincronizar contenido firmado con esas claves; (2) antigüedad de la clave en la red como peso para acciones sensibles, de forma que una clave recién creada no tenga el mismo peso que una con historial real de uso; (3) sistema de invitación/aval entre usuarios, donde la cuenta que invita asume parte de la responsabilidad de a quién avala.</w:t>
      </w:r>
    </w:p>
    <w:p>
      <w:pPr>
        <w:spacing w:after="160"/>
      </w:pPr>
      <w:r>
        <w:rPr>
          <w:b/>
          <w:bCs/>
        </w:rPr>
        <w:t xml:space="preserve">Razonamiento: </w:t>
      </w:r>
      <w:r>
        <w:t xml:space="preserve">ninguno de los tres exige identidad real ni rompe el anonimato del registro. Se acepta explícitamente que no existe forma de impedir del todo que alguien expulsado vuelva con una clave nueva — es la misma propiedad estructural que hace seguro el registro anónimo para usuarios legítimos en riesgo. El objetivo es subir el coste de volver, no hacerlo imposible.</w:t>
      </w:r>
    </w:p>
    <w:p>
      <w:pPr>
        <w:pStyle w:val="Heading1"/>
      </w:pPr>
      <w:r>
        <w:t xml:space="preserve">3. VALIDACIÓN DE CONTENIDO: CLIENTE VS. SERVIDOR</w:t>
      </w:r>
    </w:p>
    <w:p>
      <w:pPr>
        <w:spacing w:after="160"/>
      </w:pPr>
      <w:r>
        <w:rPr>
          <w:b/>
          <w:bCs/>
        </w:rPr>
        <w:t xml:space="preserve">Decisión: </w:t>
      </w:r>
      <w:r>
        <w:t xml:space="preserve">la validación de contenido (clasificador local, hash matching) debe aplicarse también en el relay GunJS propio, no solo en el cliente de la app — y se eleva a prioridad alta dentro del pendiente técnico, no queda como mejora genérica.</w:t>
      </w:r>
    </w:p>
    <w:p>
      <w:pPr>
        <w:spacing w:after="160"/>
      </w:pPr>
      <w:r>
        <w:rPr>
          <w:b/>
          <w:bCs/>
        </w:rPr>
        <w:t xml:space="preserve">Razonamiento: </w:t>
      </w:r>
      <w:r>
        <w:t xml:space="preserve">al ser ELI código abierto (AGPLv3), cualquiera puede compilar una versión modificada del cliente que omita el clasificador local antes de subir contenido, y conectarse igualmente al mismo relay — el servidor no puede distinguir por sí solo entre el cliente oficial y uno alterado. La única validación que no se puede evitar es la que vive en la infraestructura que el propio equipo controla (el relay en Hetzner), aplicada a todo lo que pase por él, sea cual sea el cliente que lo envió.</w:t>
      </w:r>
    </w:p>
    <w:p>
      <w:pPr>
        <w:spacing w:after="160"/>
      </w:pPr>
      <w:r>
        <w:rPr>
          <w:b/>
          <w:bCs/>
        </w:rPr>
        <w:t xml:space="preserve">Limitación reconocida: </w:t>
      </w:r>
      <w:r>
        <w:t xml:space="preserve">esto no impide que dos personas con clientes modificados se conecten directamente entre sí sin pasar nunca por el relay propio — sigue siendo la misma limitación estructural de cualquier red P2P abierta, pendiente de documentar en SECURITY.md junto a las demás.</w:t>
      </w:r>
    </w:p>
    <w:p>
      <w:pPr>
        <w:pStyle w:val="Heading1"/>
      </w:pPr>
      <w:r>
        <w:t xml:space="preserve">4. CLASIFICADOR NSFW LOCAL — EVALUACIÓN EN CURSO, SIN DECISIÓN CERRADA</w:t>
      </w:r>
    </w:p>
    <w:p>
      <w:pPr>
        <w:spacing w:after="160"/>
      </w:pPr>
      <w:r>
        <w:rPr>
          <w:b/>
          <w:bCs/>
        </w:rPr>
        <w:t xml:space="preserve">Estado: </w:t>
      </w:r>
      <w:r>
        <w:t xml:space="preserve">se inició la comparación entre el clasificador actual (basado en Open NSFW, 5 categorías) y una alternativa más moderna de Hugging Face (Falconsai/nsfw_image_detection, arquitectura ViT, 2 categorías), convertida a TFLite con ai-edge-torch. Los scripts de conversión y comparación ya están escritos y ejecutados parcialmente por Claude Code.</w:t>
      </w:r>
    </w:p>
    <w:p>
      <w:pPr>
        <w:spacing w:after="160"/>
      </w:pPr>
      <w:r>
        <w:rPr>
          <w:b/>
          <w:bCs/>
        </w:rPr>
        <w:t xml:space="preserve">Decisión explícita: </w:t>
      </w:r>
      <w:r>
        <w:t xml:space="preserve">no se sustituye el modelo actual a menos que la comparación con imágenes de prueba reales confirme que el nuevo clasifica mejor — no se asume superioridad solo por ser más reciente.</w:t>
      </w:r>
    </w:p>
    <w:p>
      <w:pPr>
        <w:spacing w:after="160"/>
      </w:pPr>
      <w:r>
        <w:rPr>
          <w:b/>
          <w:bCs/>
        </w:rPr>
        <w:t xml:space="preserve">Punto pendiente de resolver antes de decidir: </w:t>
      </w:r>
      <w:r>
        <w:t xml:space="preserve">el modelo actual distingue contenido dibujado/animado (hentai) de fotografía real; el de Falconsai no hace esa distinción. Queda por decidir si esa pérdida de granularidad es aceptable para ELI antes de sustituir nada.</w:t>
      </w:r>
    </w:p>
    <w:p>
      <w:pPr>
        <w:pStyle w:val="Heading1"/>
      </w:pPr>
      <w:r>
        <w:t xml:space="preserve">5. CONSULTA A FOROS DE SEGURIDAD / IFTAS ANTES DE CERRAR MÁS DISEÑO</w:t>
      </w:r>
    </w:p>
    <w:p>
      <w:pPr>
        <w:spacing w:after="160"/>
      </w:pPr>
      <w:r>
        <w:rPr>
          <w:b/>
          <w:bCs/>
        </w:rPr>
        <w:t xml:space="preserve">Decisión: </w:t>
      </w:r>
      <w:r>
        <w:t xml:space="preserve">antes de seguir diseñando soluciones propias para los problemas de las secciones 2 y 3, se preparan preguntas concretas para IFTAS Connect y foros de seguridad equivalentes, para contrastar con proyectos federados/P2P reales que ya se han enfrentado a esto.</w:t>
      </w:r>
    </w:p>
    <w:p>
      <w:pPr>
        <w:spacing w:after="160"/>
      </w:pPr>
      <w:r>
        <w:rPr>
          <w:b/>
          <w:bCs/>
        </w:rPr>
        <w:t xml:space="preserve">Razonamiento: </w:t>
      </w:r>
      <w:r>
        <w:t xml:space="preserve">el objetivo no es obtener una solución cerrada garantizada, sino contrastar si el límite encontrado es real y compartido por el resto de la industria, o si hay algo que a ELI se le esté escapando.</w:t>
      </w:r>
    </w:p>
    <w:p>
      <w:pPr>
        <w:spacing w:after="160"/>
      </w:pPr>
      <w:r>
        <w:rPr>
          <w:b/>
          <w:bCs/>
        </w:rPr>
        <w:t xml:space="preserve">Medida de seguridad operativa asociada: </w:t>
      </w:r>
      <w:r>
        <w:t xml:space="preserve">entrar siempre con Tor/VPN, sin mencionar "ELI" ni el dominio en ningún mensaje, y preferiblemente con un identificador distinto al que se use para el anuncio público una semana antes del lanzamiento, para no dejar un rastro de estilo de escritura enlazable.</w:t>
      </w:r>
    </w:p>
    <w:p>
      <w:pPr>
        <w:pBdr>
          <w:bottom w:val="single" w:color="2E75B6" w:sz="6" w:space="1"/>
        </w:pBdr>
        <w:spacing w:after="200"/>
      </w:pPr>
    </w:p>
    <w:p>
      <w:pPr>
        <w:jc w:val="center"/>
      </w:pPr>
      <w:r>
        <w:rPr>
          <w:i/>
          <w:iCs/>
          <w:sz w:val="18"/>
          <w:szCs w:val="18"/>
        </w:rPr>
        <w:t xml:space="preserve">ELI — Bitácora Nº 19 — 27 de junio de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60" w:before="240"/>
      <w:outlineLvl w:val="1"/>
    </w:pPr>
    <w:rPr>
      <w:rFonts w:ascii="Arial" w:cs="Arial" w:eastAsia="Arial" w:hAnsi="Arial"/>
      <w:b/>
      <w:bCs/>
      <w:color w:val="2E539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Prometheus</dc:creator>
  <cp:lastModifiedBy>Prometheus</cp:lastModifiedBy>
  <cp:revision>1</cp:revision>
  <dcterms:created xsi:type="dcterms:W3CDTF">2026-06-28T17:02:50.703Z</dcterms:created>
  <dcterms:modified xsi:type="dcterms:W3CDTF">2026-06-28T17:02:50.704Z</dcterms:modified>
</cp:coreProperties>
</file>

<file path=docProps/custom.xml><?xml version="1.0" encoding="utf-8"?>
<Properties xmlns="http://schemas.openxmlformats.org/officeDocument/2006/custom-properties" xmlns:vt="http://schemas.openxmlformats.org/officeDocument/2006/docPropsVTypes"/>
</file>