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8"/>
          <w:szCs w:val="48"/>
        </w:rPr>
        <w:t xml:space="preserve">ELI</w:t>
      </w:r>
    </w:p>
    <w:p>
      <w:pPr>
        <w:spacing w:after="300"/>
        <w:jc w:val="center"/>
      </w:pPr>
      <w:r>
        <w:rPr>
          <w:i/>
          <w:iCs/>
          <w:color w:val="555555"/>
          <w:sz w:val="20"/>
          <w:szCs w:val="20"/>
        </w:rPr>
        <w:t xml:space="preserve">Essential Life Intelligence</w:t>
      </w:r>
    </w:p>
    <w:p>
      <w:pPr>
        <w:spacing w:after="80"/>
        <w:jc w:val="center"/>
      </w:pPr>
      <w:r>
        <w:rPr>
          <w:b/>
          <w:bCs/>
          <w:sz w:val="28"/>
          <w:szCs w:val="28"/>
        </w:rPr>
        <w:t xml:space="preserve">BITÁCORA Nº 20</w:t>
      </w:r>
    </w:p>
    <w:p>
      <w:pPr>
        <w:pBdr>
          <w:bottom w:val="single" w:color="999999" w:sz="6" w:space="8"/>
        </w:pBdr>
        <w:spacing w:after="400"/>
        <w:jc w:val="center"/>
      </w:pPr>
      <w:r>
        <w:rPr>
          <w:i/>
          <w:iCs/>
          <w:color w:val="555555"/>
          <w:sz w:val="20"/>
          <w:szCs w:val="20"/>
        </w:rPr>
        <w:t xml:space="preserve">8 de julio de 2026 · Seudónimo creador: Prometheus</w:t>
      </w:r>
    </w:p>
    <w:p>
      <w:pPr>
        <w:spacing w:after="120"/>
      </w:pPr>
      <w:r>
        <w:t xml:space="preserve">Sesión centrada casi en exclusiva en resolver la infraestructura de hosting de ELI, tras descubrir que Hetzner había introducido verificación de identidad obligatoria (documento + selfie) incompatible con el anonimato de Prometheus. El detalle técnico completo está en el Documento de Traspaso — Sesión 028.</w:t>
      </w:r>
    </w:p>
    <w:p>
      <w:pPr>
        <w:pStyle w:val="Heading1"/>
        <w:spacing w:after="150" w:before="300"/>
      </w:pPr>
      <w:r>
        <w:t xml:space="preserve">Lo que se decidió</w:t>
      </w:r>
    </w:p>
    <w:p>
      <w:pPr>
        <w:pStyle w:val="ListParagraph"/>
        <w:numPr>
          <w:ilvl w:val="0"/>
          <w:numId w:val="1"/>
        </w:numPr>
        <w:spacing w:after="80"/>
      </w:pPr>
      <w:r>
        <w:t xml:space="preserve">Se abandona Hetzner como proveedor. Se contrata FlokiNET, sede Finlandia, plan Finland VPS I (1 vCPU, 1GB RAM, 3TB tráfico) — suficiente para la fase actual de pruebas entre dos móviles.</w:t>
      </w:r>
    </w:p>
    <w:p>
      <w:pPr>
        <w:pStyle w:val="ListParagraph"/>
        <w:numPr>
          <w:ilvl w:val="0"/>
          <w:numId w:val="1"/>
        </w:numPr>
        <w:spacing w:after="80"/>
      </w:pPr>
      <w:r>
        <w:t xml:space="preserve">La elección de Finlandia sobre Islandia no fue por precio, sino por tráfico: la arquitectura de ELI obliga a que todo el WebRTC pase siempre por el coturn propio (nunca P2P directo), lo que multiplica el consumo de ancho de banda frente a una app normal.</w:t>
      </w:r>
    </w:p>
    <w:p>
      <w:pPr>
        <w:pStyle w:val="ListParagraph"/>
        <w:numPr>
          <w:ilvl w:val="0"/>
          <w:numId w:val="1"/>
        </w:numPr>
        <w:spacing w:after="80"/>
      </w:pPr>
      <w:r>
        <w:t xml:space="preserve">El dominio queda aplazado deliberadamente — se decidirá entre Njalla (máximo anonimato, pero con cierta controversia reputacional) o 1984 Hosting (más convencional) más adelante, a una semana de abrir el repositorio.</w:t>
      </w:r>
    </w:p>
    <w:p>
      <w:pPr>
        <w:pStyle w:val="Heading1"/>
        <w:spacing w:after="150" w:before="300"/>
      </w:pPr>
      <w:r>
        <w:t xml:space="preserve">Cómo fue el proceso</w:t>
      </w:r>
    </w:p>
    <w:p>
      <w:pPr>
        <w:spacing w:after="120"/>
      </w:pPr>
      <w:r>
        <w:t xml:space="preserve">Método de pago: tarjeta virtual de un solo uso como origen de fondos, canalizada a través de Paysafecard para poder pagar en FlokiNET sin KYC. Incidencias encontradas y resueltas durante la contratación: un carrito que se vaciaba solo entre pasos, una cuenta de panel que quedó inservible por no llegar el correo de recuperación, un formulario de contraseña con requisitos de símbolos no documentados, y una pasarela de pago de Paysafecard incompatible con Tor Browser.</w:t>
      </w:r>
    </w:p>
    <w:p>
      <w:pPr>
        <w:spacing w:after="120"/>
      </w:pPr>
      <w:r>
        <w:t xml:space="preserve">El servidor terminó activo y funcional. Quedó un saldo de 8,91€ en la cuenta de Paysafecard, que se decidió reservar para el dominio en lugar de gastarlo ahora en adelantar meses de servidor.</w:t>
      </w:r>
    </w:p>
    <w:p>
      <w:pPr>
        <w:pStyle w:val="Heading1"/>
        <w:spacing w:after="150" w:before="300"/>
      </w:pPr>
      <w:r>
        <w:t xml:space="preserve">Estado y pendientes de la sesión</w:t>
      </w:r>
    </w:p>
    <w:p>
      <w:pPr>
        <w:spacing w:after="120"/>
      </w:pPr>
      <w:r>
        <w:t xml:space="preserve">El servidor ya está pagado y activo por el primer mes; el hardening, la instalación de coturn y las pruebas entre dispositivos quedan para una próxima sesión. Sigue pendiente, sin resolver, la decisión más importante desde la Sesión 027: elegir el proveedor de hash matching contra CSAM (WebPurify, Thorn Safer o Cloudflare CSAM Tool).</w:t>
      </w:r>
    </w:p>
    <w:p>
      <w:pPr>
        <w:pBdr>
          <w:top w:val="single" w:color="999999" w:sz="6" w:space="8"/>
        </w:pBdr>
        <w:spacing w:before="400"/>
        <w:jc w:val="center"/>
      </w:pPr>
      <w:r>
        <w:rPr>
          <w:i/>
          <w:iCs/>
          <w:color w:val="555555"/>
          <w:sz w:val="20"/>
          <w:szCs w:val="20"/>
        </w:rPr>
        <w:t xml:space="preserve">ELI — Bitácora Nº 20 — 8 de julio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Prometheus</dc:creator>
  <cp:lastModifiedBy>Prometheus</cp:lastModifiedBy>
  <cp:revision>1</cp:revision>
  <dcterms:created xsi:type="dcterms:W3CDTF">2026-07-08T20:57:27.625Z</dcterms:created>
  <dcterms:modified xsi:type="dcterms:W3CDTF">2026-07-08T20:57:27.635Z</dcterms:modified>
</cp:coreProperties>
</file>

<file path=docProps/custom.xml><?xml version="1.0" encoding="utf-8"?>
<Properties xmlns="http://schemas.openxmlformats.org/officeDocument/2006/custom-properties" xmlns:vt="http://schemas.openxmlformats.org/officeDocument/2006/docPropsVTypes"/>
</file>