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200"/>
      </w:tblGrid>
      <w:tr>
        <w:tc>
          <w:tcPr>
            <w:tcW w:type="dxa" w:w="10200"/>
            <w:shd w:fill="032549"/>
            <w:tcMar>
              <w:top w:w="300" w:type="dxa"/>
              <w:start w:w="320" w:type="dxa"/>
              <w:bottom w:w="300" w:type="dxa"/>
              <w:end w:w="320" w:type="dxa"/>
            </w:tcMar>
          </w:tcPr>
          <w:p>
            <w:pPr>
              <w:jc w:val="center"/>
            </w:pPr>
            <w:r>
              <w:rPr>
                <w:b/>
                <w:color w:val="D9C8F2"/>
                <w:sz w:val="20"/>
              </w:rPr>
              <w:t>MEMBER-EXCLUSIVE BENEFIT</w:t>
            </w:r>
          </w:p>
          <w:p>
            <w:pPr>
              <w:jc w:val="center"/>
            </w:pPr>
            <w:r>
              <w:rPr>
                <w:b/>
                <w:color w:val="FFFFFF"/>
                <w:sz w:val="68"/>
              </w:rPr>
              <w:t>SAVE 35%</w:t>
            </w:r>
          </w:p>
          <w:p>
            <w:pPr>
              <w:jc w:val="center"/>
            </w:pPr>
            <w:r>
              <w:rPr>
                <w:b/>
                <w:color w:val="FFFFFF"/>
                <w:sz w:val="30"/>
              </w:rPr>
              <w:t>on Women's IP World editorial &amp; advertising opportunities</w:t>
            </w:r>
          </w:p>
          <w:p>
            <w:pPr>
              <w:jc w:val="center"/>
            </w:pPr>
            <w:r>
              <w:rPr>
                <w:color w:val="EDE7F6"/>
                <w:sz w:val="21"/>
              </w:rPr>
              <w:t>An exclusive advantage reserved for Women's IP Alliance members.</w:t>
            </w:r>
          </w:p>
        </w:tc>
      </w:tr>
    </w:tbl>
    <w:p/>
    <w:p>
      <w:pPr>
        <w:pStyle w:val="Heading1"/>
      </w:pPr>
      <w:r>
        <w:t>Your membership gives you more than access - it gives you a platform.</w:t>
      </w:r>
    </w:p>
    <w:p>
      <w:r>
        <w:rPr>
          <w:b w:val="0"/>
        </w:rPr>
        <w:t xml:space="preserve">As a member of The Women's IP Alliance, you receive an exclusive </w:t>
      </w:r>
      <w:r>
        <w:rPr>
          <w:b/>
          <w:color w:val="7456A8"/>
        </w:rPr>
        <w:t>35% member discount</w:t>
      </w:r>
      <w:r>
        <w:t xml:space="preserve"> across our editorial and advertising options with The Women's IP World. This benefit is designed to make it easier for Alliance members to increase their professional visibility, share their expertise, celebrate achievements and place their personal or organisational brand in front of a specialist global IP and innovation audience.</w:t>
      </w:r>
    </w:p>
    <w:p>
      <w:r>
        <w:rPr>
          <w:b/>
        </w:rPr>
        <w:t>This preferential rate is for Alliance members only</w:t>
      </w:r>
      <w:r>
        <w:t xml:space="preserve"> and is not a general public offer. Whether you want to publish thought leadership, showcase your professional profile, promote your firm or organisation, or secure advertising visibility, your membership gives you access to substantially reduced rates.</w:t>
      </w:r>
    </w:p>
    <w:p>
      <w:pPr>
        <w:pStyle w:val="Heading1"/>
      </w:pPr>
      <w:r>
        <w:t>About The Women's IP World</w:t>
      </w:r>
    </w:p>
    <w:p>
      <w:r>
        <w:rPr>
          <w:b/>
        </w:rPr>
        <w:t>The Women's IP World Annual</w:t>
      </w:r>
      <w:r>
        <w:t xml:space="preserve"> is a dedicated digital and print publication celebrating the work, expertise and achievements of women across intellectual property law and innovation globally. Its purpose is to amplify women's voices, recognise professional excellence and provide a specialist platform where women can share knowledge, experience and achievements with the wider IP community.</w:t>
      </w:r>
    </w:p>
    <w:p>
      <w:r>
        <w:rPr>
          <w:b w:val="0"/>
        </w:rPr>
        <w:t xml:space="preserve">The publication brings together </w:t>
      </w:r>
      <w:r>
        <w:rPr>
          <w:b/>
        </w:rPr>
        <w:t>profiles, professional experience, accolades, articles, rankings and achievements</w:t>
      </w:r>
      <w:r>
        <w:t>, giving contributors multiple ways to build visibility and communicate their expertise. It also features the 'Females in Focus' concept, highlighting influential women helping to reshape IP law and innovation.</w:t>
      </w:r>
    </w:p>
    <w:p>
      <w:pPr>
        <w:pStyle w:val="Heading1"/>
      </w:pPr>
      <w:r>
        <w:t>What can you use your member discount for?</w:t>
      </w:r>
    </w:p>
    <w:p>
      <w:pPr>
        <w:ind w:left="170"/>
      </w:pPr>
      <w:r>
        <w:rPr>
          <w:b/>
          <w:color w:val="032549"/>
        </w:rPr>
        <w:t xml:space="preserve">• Editorial Articles: </w:t>
      </w:r>
      <w:r>
        <w:t>Share insight on legal developments, innovation, emerging issues, cases, strategy and specialist areas of expertise through one- or two-page editorial opportunities.</w:t>
      </w:r>
    </w:p>
    <w:p>
      <w:pPr>
        <w:ind w:left="170"/>
      </w:pPr>
      <w:r>
        <w:rPr>
          <w:b/>
          <w:color w:val="032549"/>
        </w:rPr>
        <w:t xml:space="preserve">• Professional Profiles: </w:t>
      </w:r>
      <w:r>
        <w:t>Present your career, credentials, experience, accolades and achievements in a dedicated profile designed to strengthen professional visibility.</w:t>
      </w:r>
    </w:p>
    <w:p>
      <w:pPr>
        <w:ind w:left="170"/>
      </w:pPr>
      <w:r>
        <w:rPr>
          <w:b/>
          <w:color w:val="032549"/>
        </w:rPr>
        <w:t xml:space="preserve">• Advertising: </w:t>
      </w:r>
      <w:r>
        <w:t>Promote your firm, organisation, service or brand through full-page, half-page and quarter-page advertising, as well as selected premium advertising positions.</w:t>
      </w:r>
    </w:p>
    <w:p>
      <w:pPr>
        <w:ind w:left="170"/>
      </w:pPr>
      <w:r>
        <w:rPr>
          <w:b/>
          <w:color w:val="032549"/>
        </w:rPr>
        <w:t xml:space="preserve">• Combined Editorial &amp; Advertising Packages: </w:t>
      </w:r>
      <w:r>
        <w:t>Bring your personal thought leadership and organisational brand together through packages combining profile, editorial and advertising exposure.</w:t>
      </w:r>
    </w:p>
    <w:p>
      <w:pPr>
        <w:ind w:left="170"/>
      </w:pPr>
      <w:r>
        <w:rPr>
          <w:b/>
          <w:color w:val="032549"/>
        </w:rPr>
        <w:t xml:space="preserve">• Digital Visibility: </w:t>
      </w:r>
      <w:r>
        <w:t>Extend your presence through selected Women's IP World digital advertising opportunities, including website banner placements where available.</w:t>
      </w:r>
    </w:p>
    <w:tbl>
      <w:tblPr>
        <w:tblW w:type="auto" w:w="0"/>
        <w:jc w:val="center"/>
        <w:tblLayout w:type="fixed"/>
        <w:tblLook w:firstColumn="1" w:firstRow="1" w:lastColumn="0" w:lastRow="0" w:noHBand="0" w:noVBand="1" w:val="04A0"/>
      </w:tblPr>
      <w:tblGrid>
        <w:gridCol w:w="4592"/>
        <w:gridCol w:w="4592"/>
      </w:tblGrid>
      <w:tr>
        <w:tc>
          <w:tcPr>
            <w:tcW w:type="dxa" w:w="5100"/>
            <w:shd w:fill="F4F0FA"/>
            <w:tcMar>
              <w:top w:w="220" w:type="dxa"/>
              <w:start w:w="240" w:type="dxa"/>
              <w:bottom w:w="220" w:type="dxa"/>
              <w:end w:w="240" w:type="dxa"/>
            </w:tcMar>
            <w:vAlign w:val="center"/>
          </w:tcPr>
          <w:p>
            <w:r>
              <w:rPr>
                <w:b/>
                <w:color w:val="7456A8"/>
                <w:sz w:val="20"/>
              </w:rPr>
              <w:t>GLOBAL SPECIALIST READERSHIP</w:t>
            </w:r>
          </w:p>
          <w:p>
            <w:r>
              <w:t>The 2027 media pack identifies a readership including CEOs, patent and trademark attorneys, managing directors, IP service providers, paralegals, in-house and special counsel, IP alumni, legal advisers, heads of marketing and IP barristers.</w:t>
            </w:r>
          </w:p>
        </w:tc>
        <w:tc>
          <w:tcPr>
            <w:tcW w:type="dxa" w:w="5100"/>
            <w:shd w:fill="F4F0FA"/>
            <w:tcMar>
              <w:top w:w="220" w:type="dxa"/>
              <w:start w:w="240" w:type="dxa"/>
              <w:bottom w:w="220" w:type="dxa"/>
              <w:end w:w="240" w:type="dxa"/>
            </w:tcMar>
            <w:vAlign w:val="center"/>
          </w:tcPr>
          <w:p>
            <w:r>
              <w:rPr>
                <w:b/>
                <w:color w:val="7456A8"/>
                <w:sz w:val="20"/>
              </w:rPr>
              <w:t>PRINT, DIGITAL &amp; AUDIO</w:t>
            </w:r>
          </w:p>
          <w:p>
            <w:r>
              <w:t>The publication is distributed in print and digital formats, with an audio edition available on major listening platforms. The 2027 media pack lists 17,000+ digital circulation to IP professionals and 7,500 print copies per annual issue.</w:t>
            </w:r>
          </w:p>
        </w:tc>
      </w:tr>
    </w:tbl>
    <w:p/>
    <w:p>
      <w:pPr>
        <w:pStyle w:val="Heading1"/>
      </w:pPr>
      <w:r>
        <w:t>Your 35% member saving - examples</w:t>
      </w:r>
    </w:p>
    <w:p>
      <w:pPr>
        <w:spacing w:after="160"/>
      </w:pPr>
      <w:r>
        <w:t>Based on selected standard rates shown in the 2027 Women's IP World media pack:</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032549"/>
            <w:tcMar>
              <w:top w:w="120" w:type="dxa"/>
              <w:start w:w="120" w:type="dxa"/>
              <w:bottom w:w="120" w:type="dxa"/>
              <w:end w:w="120" w:type="dxa"/>
            </w:tcMar>
          </w:tcPr>
          <w:p>
            <w:r>
              <w:rPr>
                <w:b/>
                <w:color w:val="FFFFFF"/>
                <w:sz w:val="18"/>
              </w:rPr>
              <w:t>Opportunity</w:t>
            </w:r>
          </w:p>
        </w:tc>
        <w:tc>
          <w:tcPr>
            <w:tcW w:type="dxa" w:w="2550"/>
            <w:shd w:fill="032549"/>
            <w:tcMar>
              <w:top w:w="120" w:type="dxa"/>
              <w:start w:w="120" w:type="dxa"/>
              <w:bottom w:w="120" w:type="dxa"/>
              <w:end w:w="120" w:type="dxa"/>
            </w:tcMar>
          </w:tcPr>
          <w:p>
            <w:r>
              <w:rPr>
                <w:b/>
                <w:color w:val="FFFFFF"/>
                <w:sz w:val="18"/>
              </w:rPr>
              <w:t>Standard Rate</w:t>
            </w:r>
          </w:p>
        </w:tc>
        <w:tc>
          <w:tcPr>
            <w:tcW w:type="dxa" w:w="2550"/>
            <w:shd w:fill="032549"/>
            <w:tcMar>
              <w:top w:w="120" w:type="dxa"/>
              <w:start w:w="120" w:type="dxa"/>
              <w:bottom w:w="120" w:type="dxa"/>
              <w:end w:w="120" w:type="dxa"/>
            </w:tcMar>
          </w:tcPr>
          <w:p>
            <w:r>
              <w:rPr>
                <w:b/>
                <w:color w:val="FFFFFF"/>
                <w:sz w:val="18"/>
              </w:rPr>
              <w:t>Member Rate</w:t>
            </w:r>
          </w:p>
        </w:tc>
        <w:tc>
          <w:tcPr>
            <w:tcW w:type="dxa" w:w="2550"/>
            <w:shd w:fill="032549"/>
            <w:tcMar>
              <w:top w:w="120" w:type="dxa"/>
              <w:start w:w="120" w:type="dxa"/>
              <w:bottom w:w="120" w:type="dxa"/>
              <w:end w:w="120" w:type="dxa"/>
            </w:tcMar>
          </w:tcPr>
          <w:p>
            <w:r>
              <w:rPr>
                <w:b/>
                <w:color w:val="FFFFFF"/>
                <w:sz w:val="18"/>
              </w:rPr>
              <w:t>You Save</w:t>
            </w:r>
          </w:p>
        </w:tc>
      </w:tr>
      <w:tr>
        <w:tc>
          <w:tcPr>
            <w:tcW w:type="dxa" w:w="2550"/>
            <w:tcMar>
              <w:top w:w="100" w:type="dxa"/>
              <w:start w:w="100" w:type="dxa"/>
              <w:bottom w:w="100" w:type="dxa"/>
              <w:end w:w="100" w:type="dxa"/>
            </w:tcMar>
          </w:tcPr>
          <w:p>
            <w:pPr>
              <w:spacing w:after="0"/>
            </w:pPr>
            <w:r>
              <w:rPr>
                <w:sz w:val="17"/>
              </w:rPr>
              <w:t>Complete Profile, Editorial &amp; Advertisement Package</w:t>
            </w:r>
          </w:p>
        </w:tc>
        <w:tc>
          <w:tcPr>
            <w:tcW w:type="dxa" w:w="2550"/>
            <w:tcMar>
              <w:top w:w="100" w:type="dxa"/>
              <w:start w:w="100" w:type="dxa"/>
              <w:bottom w:w="100" w:type="dxa"/>
              <w:end w:w="100" w:type="dxa"/>
            </w:tcMar>
          </w:tcPr>
          <w:p>
            <w:pPr>
              <w:spacing w:after="0"/>
            </w:pPr>
            <w:r>
              <w:rPr>
                <w:sz w:val="17"/>
              </w:rPr>
              <w:t>£3,995</w:t>
            </w:r>
          </w:p>
        </w:tc>
        <w:tc>
          <w:tcPr>
            <w:tcW w:type="dxa" w:w="2550"/>
            <w:tcMar>
              <w:top w:w="100" w:type="dxa"/>
              <w:start w:w="100" w:type="dxa"/>
              <w:bottom w:w="100" w:type="dxa"/>
              <w:end w:w="100" w:type="dxa"/>
            </w:tcMar>
          </w:tcPr>
          <w:p>
            <w:pPr>
              <w:spacing w:after="0"/>
            </w:pPr>
            <w:r>
              <w:rPr>
                <w:b/>
                <w:color w:val="7456A8"/>
                <w:sz w:val="17"/>
              </w:rPr>
              <w:t>£2,596.75</w:t>
            </w:r>
          </w:p>
        </w:tc>
        <w:tc>
          <w:tcPr>
            <w:tcW w:type="dxa" w:w="2550"/>
            <w:tcMar>
              <w:top w:w="100" w:type="dxa"/>
              <w:start w:w="100" w:type="dxa"/>
              <w:bottom w:w="100" w:type="dxa"/>
              <w:end w:w="100" w:type="dxa"/>
            </w:tcMar>
          </w:tcPr>
          <w:p>
            <w:pPr>
              <w:spacing w:after="0"/>
            </w:pPr>
            <w:r>
              <w:rPr>
                <w:sz w:val="17"/>
              </w:rPr>
              <w:t>£1,398.25</w:t>
            </w:r>
          </w:p>
        </w:tc>
      </w:tr>
      <w:tr>
        <w:tc>
          <w:tcPr>
            <w:tcW w:type="dxa" w:w="2550"/>
            <w:tcMar>
              <w:top w:w="100" w:type="dxa"/>
              <w:start w:w="100" w:type="dxa"/>
              <w:bottom w:w="100" w:type="dxa"/>
              <w:end w:w="100" w:type="dxa"/>
            </w:tcMar>
          </w:tcPr>
          <w:p>
            <w:pPr>
              <w:spacing w:after="0"/>
            </w:pPr>
            <w:r>
              <w:rPr>
                <w:sz w:val="17"/>
              </w:rPr>
              <w:t>2-Page Stand-Alone Article</w:t>
            </w:r>
          </w:p>
        </w:tc>
        <w:tc>
          <w:tcPr>
            <w:tcW w:type="dxa" w:w="2550"/>
            <w:tcMar>
              <w:top w:w="100" w:type="dxa"/>
              <w:start w:w="100" w:type="dxa"/>
              <w:bottom w:w="100" w:type="dxa"/>
              <w:end w:w="100" w:type="dxa"/>
            </w:tcMar>
          </w:tcPr>
          <w:p>
            <w:pPr>
              <w:spacing w:after="0"/>
            </w:pPr>
            <w:r>
              <w:rPr>
                <w:sz w:val="17"/>
              </w:rPr>
              <w:t>£2,995</w:t>
            </w:r>
          </w:p>
        </w:tc>
        <w:tc>
          <w:tcPr>
            <w:tcW w:type="dxa" w:w="2550"/>
            <w:tcMar>
              <w:top w:w="100" w:type="dxa"/>
              <w:start w:w="100" w:type="dxa"/>
              <w:bottom w:w="100" w:type="dxa"/>
              <w:end w:w="100" w:type="dxa"/>
            </w:tcMar>
          </w:tcPr>
          <w:p>
            <w:pPr>
              <w:spacing w:after="0"/>
            </w:pPr>
            <w:r>
              <w:rPr>
                <w:b/>
                <w:color w:val="7456A8"/>
                <w:sz w:val="17"/>
              </w:rPr>
              <w:t>£1,946.75</w:t>
            </w:r>
          </w:p>
        </w:tc>
        <w:tc>
          <w:tcPr>
            <w:tcW w:type="dxa" w:w="2550"/>
            <w:tcMar>
              <w:top w:w="100" w:type="dxa"/>
              <w:start w:w="100" w:type="dxa"/>
              <w:bottom w:w="100" w:type="dxa"/>
              <w:end w:w="100" w:type="dxa"/>
            </w:tcMar>
          </w:tcPr>
          <w:p>
            <w:pPr>
              <w:spacing w:after="0"/>
            </w:pPr>
            <w:r>
              <w:rPr>
                <w:sz w:val="17"/>
              </w:rPr>
              <w:t>£1,048.25</w:t>
            </w:r>
          </w:p>
        </w:tc>
      </w:tr>
      <w:tr>
        <w:tc>
          <w:tcPr>
            <w:tcW w:type="dxa" w:w="2550"/>
            <w:tcMar>
              <w:top w:w="100" w:type="dxa"/>
              <w:start w:w="100" w:type="dxa"/>
              <w:bottom w:w="100" w:type="dxa"/>
              <w:end w:w="100" w:type="dxa"/>
            </w:tcMar>
          </w:tcPr>
          <w:p>
            <w:pPr>
              <w:spacing w:after="0"/>
            </w:pPr>
            <w:r>
              <w:rPr>
                <w:sz w:val="17"/>
              </w:rPr>
              <w:t>Stand-Alone Profile</w:t>
            </w:r>
          </w:p>
        </w:tc>
        <w:tc>
          <w:tcPr>
            <w:tcW w:type="dxa" w:w="2550"/>
            <w:tcMar>
              <w:top w:w="100" w:type="dxa"/>
              <w:start w:w="100" w:type="dxa"/>
              <w:bottom w:w="100" w:type="dxa"/>
              <w:end w:w="100" w:type="dxa"/>
            </w:tcMar>
          </w:tcPr>
          <w:p>
            <w:pPr>
              <w:spacing w:after="0"/>
            </w:pPr>
            <w:r>
              <w:rPr>
                <w:sz w:val="17"/>
              </w:rPr>
              <w:t>£2,195</w:t>
            </w:r>
          </w:p>
        </w:tc>
        <w:tc>
          <w:tcPr>
            <w:tcW w:type="dxa" w:w="2550"/>
            <w:tcMar>
              <w:top w:w="100" w:type="dxa"/>
              <w:start w:w="100" w:type="dxa"/>
              <w:bottom w:w="100" w:type="dxa"/>
              <w:end w:w="100" w:type="dxa"/>
            </w:tcMar>
          </w:tcPr>
          <w:p>
            <w:pPr>
              <w:spacing w:after="0"/>
            </w:pPr>
            <w:r>
              <w:rPr>
                <w:b/>
                <w:color w:val="7456A8"/>
                <w:sz w:val="17"/>
              </w:rPr>
              <w:t>£1,426.75</w:t>
            </w:r>
          </w:p>
        </w:tc>
        <w:tc>
          <w:tcPr>
            <w:tcW w:type="dxa" w:w="2550"/>
            <w:tcMar>
              <w:top w:w="100" w:type="dxa"/>
              <w:start w:w="100" w:type="dxa"/>
              <w:bottom w:w="100" w:type="dxa"/>
              <w:end w:w="100" w:type="dxa"/>
            </w:tcMar>
          </w:tcPr>
          <w:p>
            <w:pPr>
              <w:spacing w:after="0"/>
            </w:pPr>
            <w:r>
              <w:rPr>
                <w:sz w:val="17"/>
              </w:rPr>
              <w:t>£768.25</w:t>
            </w:r>
          </w:p>
        </w:tc>
      </w:tr>
      <w:tr>
        <w:tc>
          <w:tcPr>
            <w:tcW w:type="dxa" w:w="2550"/>
            <w:tcMar>
              <w:top w:w="100" w:type="dxa"/>
              <w:start w:w="100" w:type="dxa"/>
              <w:bottom w:w="100" w:type="dxa"/>
              <w:end w:w="100" w:type="dxa"/>
            </w:tcMar>
          </w:tcPr>
          <w:p>
            <w:pPr>
              <w:spacing w:after="0"/>
            </w:pPr>
            <w:r>
              <w:rPr>
                <w:sz w:val="17"/>
              </w:rPr>
              <w:t>Full-Page Advertisement</w:t>
            </w:r>
          </w:p>
        </w:tc>
        <w:tc>
          <w:tcPr>
            <w:tcW w:type="dxa" w:w="2550"/>
            <w:tcMar>
              <w:top w:w="100" w:type="dxa"/>
              <w:start w:w="100" w:type="dxa"/>
              <w:bottom w:w="100" w:type="dxa"/>
              <w:end w:w="100" w:type="dxa"/>
            </w:tcMar>
          </w:tcPr>
          <w:p>
            <w:pPr>
              <w:spacing w:after="0"/>
            </w:pPr>
            <w:r>
              <w:rPr>
                <w:sz w:val="17"/>
              </w:rPr>
              <w:t>£1,800</w:t>
            </w:r>
          </w:p>
        </w:tc>
        <w:tc>
          <w:tcPr>
            <w:tcW w:type="dxa" w:w="2550"/>
            <w:tcMar>
              <w:top w:w="100" w:type="dxa"/>
              <w:start w:w="100" w:type="dxa"/>
              <w:bottom w:w="100" w:type="dxa"/>
              <w:end w:w="100" w:type="dxa"/>
            </w:tcMar>
          </w:tcPr>
          <w:p>
            <w:pPr>
              <w:spacing w:after="0"/>
            </w:pPr>
            <w:r>
              <w:rPr>
                <w:b/>
                <w:color w:val="7456A8"/>
                <w:sz w:val="17"/>
              </w:rPr>
              <w:t>£1,170.00</w:t>
            </w:r>
          </w:p>
        </w:tc>
        <w:tc>
          <w:tcPr>
            <w:tcW w:type="dxa" w:w="2550"/>
            <w:tcMar>
              <w:top w:w="100" w:type="dxa"/>
              <w:start w:w="100" w:type="dxa"/>
              <w:bottom w:w="100" w:type="dxa"/>
              <w:end w:w="100" w:type="dxa"/>
            </w:tcMar>
          </w:tcPr>
          <w:p>
            <w:pPr>
              <w:spacing w:after="0"/>
            </w:pPr>
            <w:r>
              <w:rPr>
                <w:sz w:val="17"/>
              </w:rPr>
              <w:t>£630.00</w:t>
            </w:r>
          </w:p>
        </w:tc>
      </w:tr>
      <w:tr>
        <w:tc>
          <w:tcPr>
            <w:tcW w:type="dxa" w:w="2550"/>
            <w:tcMar>
              <w:top w:w="100" w:type="dxa"/>
              <w:start w:w="100" w:type="dxa"/>
              <w:bottom w:w="100" w:type="dxa"/>
              <w:end w:w="100" w:type="dxa"/>
            </w:tcMar>
          </w:tcPr>
          <w:p>
            <w:pPr>
              <w:spacing w:after="0"/>
            </w:pPr>
            <w:r>
              <w:rPr>
                <w:sz w:val="17"/>
              </w:rPr>
              <w:t>Half-Page Advertisement</w:t>
            </w:r>
          </w:p>
        </w:tc>
        <w:tc>
          <w:tcPr>
            <w:tcW w:type="dxa" w:w="2550"/>
            <w:tcMar>
              <w:top w:w="100" w:type="dxa"/>
              <w:start w:w="100" w:type="dxa"/>
              <w:bottom w:w="100" w:type="dxa"/>
              <w:end w:w="100" w:type="dxa"/>
            </w:tcMar>
          </w:tcPr>
          <w:p>
            <w:pPr>
              <w:spacing w:after="0"/>
            </w:pPr>
            <w:r>
              <w:rPr>
                <w:sz w:val="17"/>
              </w:rPr>
              <w:t>£1,500</w:t>
            </w:r>
          </w:p>
        </w:tc>
        <w:tc>
          <w:tcPr>
            <w:tcW w:type="dxa" w:w="2550"/>
            <w:tcMar>
              <w:top w:w="100" w:type="dxa"/>
              <w:start w:w="100" w:type="dxa"/>
              <w:bottom w:w="100" w:type="dxa"/>
              <w:end w:w="100" w:type="dxa"/>
            </w:tcMar>
          </w:tcPr>
          <w:p>
            <w:pPr>
              <w:spacing w:after="0"/>
            </w:pPr>
            <w:r>
              <w:rPr>
                <w:b/>
                <w:color w:val="7456A8"/>
                <w:sz w:val="17"/>
              </w:rPr>
              <w:t>£975.00</w:t>
            </w:r>
          </w:p>
        </w:tc>
        <w:tc>
          <w:tcPr>
            <w:tcW w:type="dxa" w:w="2550"/>
            <w:tcMar>
              <w:top w:w="100" w:type="dxa"/>
              <w:start w:w="100" w:type="dxa"/>
              <w:bottom w:w="100" w:type="dxa"/>
              <w:end w:w="100" w:type="dxa"/>
            </w:tcMar>
          </w:tcPr>
          <w:p>
            <w:pPr>
              <w:spacing w:after="0"/>
            </w:pPr>
            <w:r>
              <w:rPr>
                <w:sz w:val="17"/>
              </w:rPr>
              <w:t>£525.00</w:t>
            </w:r>
          </w:p>
        </w:tc>
      </w:tr>
      <w:tr>
        <w:tc>
          <w:tcPr>
            <w:tcW w:type="dxa" w:w="2550"/>
            <w:tcMar>
              <w:top w:w="100" w:type="dxa"/>
              <w:start w:w="100" w:type="dxa"/>
              <w:bottom w:w="100" w:type="dxa"/>
              <w:end w:w="100" w:type="dxa"/>
            </w:tcMar>
          </w:tcPr>
          <w:p>
            <w:pPr>
              <w:spacing w:after="0"/>
            </w:pPr>
            <w:r>
              <w:rPr>
                <w:sz w:val="17"/>
              </w:rPr>
              <w:t>Quarter-Page Advertisement</w:t>
            </w:r>
          </w:p>
        </w:tc>
        <w:tc>
          <w:tcPr>
            <w:tcW w:type="dxa" w:w="2550"/>
            <w:tcMar>
              <w:top w:w="100" w:type="dxa"/>
              <w:start w:w="100" w:type="dxa"/>
              <w:bottom w:w="100" w:type="dxa"/>
              <w:end w:w="100" w:type="dxa"/>
            </w:tcMar>
          </w:tcPr>
          <w:p>
            <w:pPr>
              <w:spacing w:after="0"/>
            </w:pPr>
            <w:r>
              <w:rPr>
                <w:sz w:val="17"/>
              </w:rPr>
              <w:t>£1,000</w:t>
            </w:r>
          </w:p>
        </w:tc>
        <w:tc>
          <w:tcPr>
            <w:tcW w:type="dxa" w:w="2550"/>
            <w:tcMar>
              <w:top w:w="100" w:type="dxa"/>
              <w:start w:w="100" w:type="dxa"/>
              <w:bottom w:w="100" w:type="dxa"/>
              <w:end w:w="100" w:type="dxa"/>
            </w:tcMar>
          </w:tcPr>
          <w:p>
            <w:pPr>
              <w:spacing w:after="0"/>
            </w:pPr>
            <w:r>
              <w:rPr>
                <w:b/>
                <w:color w:val="7456A8"/>
                <w:sz w:val="17"/>
              </w:rPr>
              <w:t>£650.00</w:t>
            </w:r>
          </w:p>
        </w:tc>
        <w:tc>
          <w:tcPr>
            <w:tcW w:type="dxa" w:w="2550"/>
            <w:tcMar>
              <w:top w:w="100" w:type="dxa"/>
              <w:start w:w="100" w:type="dxa"/>
              <w:bottom w:w="100" w:type="dxa"/>
              <w:end w:w="100" w:type="dxa"/>
            </w:tcMar>
          </w:tcPr>
          <w:p>
            <w:pPr>
              <w:spacing w:after="0"/>
            </w:pPr>
            <w:r>
              <w:rPr>
                <w:sz w:val="17"/>
              </w:rPr>
              <w:t>£350.00</w:t>
            </w:r>
          </w:p>
        </w:tc>
      </w:tr>
    </w:tbl>
    <w:p>
      <w:pPr>
        <w:spacing w:before="120"/>
      </w:pPr>
      <w:r>
        <w:rPr>
          <w:b/>
        </w:rPr>
        <w:t xml:space="preserve">Note: </w:t>
      </w:r>
      <w:r>
        <w:t>The examples above apply the 35% Alliance member discount to the listed standard media-pack rates. Availability, premium positions, sponsorships and bespoke packages remain subject to confirmation.</w:t>
      </w:r>
    </w:p>
    <w:p>
      <w:pPr>
        <w:pStyle w:val="Heading1"/>
      </w:pPr>
      <w:r>
        <w:t>Make your membership work harder for your visibility</w:t>
      </w:r>
    </w:p>
    <w:p>
      <w:r>
        <w:rPr>
          <w:b w:val="0"/>
        </w:rPr>
        <w:t xml:space="preserve">Use your exclusive member rate to put your expertise, achievements and organisation in front of a focused international IP audience. </w:t>
      </w:r>
      <w:r>
        <w:rPr>
          <w:b/>
          <w:color w:val="7456A8"/>
        </w:rPr>
        <w:t>Your 35% discount is a Women's IP Alliance member-only benefit.</w:t>
      </w:r>
    </w:p>
    <w:tbl>
      <w:tblPr>
        <w:tblW w:type="auto" w:w="0"/>
        <w:jc w:val="center"/>
        <w:tblLook w:firstColumn="1" w:firstRow="1" w:lastColumn="0" w:lastRow="0" w:noHBand="0" w:noVBand="1" w:val="04A0"/>
      </w:tblPr>
      <w:tblGrid>
        <w:gridCol w:w="10200"/>
      </w:tblGrid>
      <w:tr>
        <w:tc>
          <w:tcPr>
            <w:tcW w:type="dxa" w:w="10200"/>
            <w:shd w:fill="7456A8"/>
            <w:tcMar>
              <w:top w:w="220" w:type="dxa"/>
              <w:start w:w="260" w:type="dxa"/>
              <w:bottom w:w="220" w:type="dxa"/>
              <w:end w:w="260" w:type="dxa"/>
            </w:tcMar>
          </w:tcPr>
          <w:p>
            <w:pPr>
              <w:jc w:val="center"/>
            </w:pPr>
            <w:r>
              <w:rPr>
                <w:b/>
                <w:color w:val="FFFFFF"/>
                <w:sz w:val="24"/>
              </w:rPr>
              <w:t>INTERESTED IN EDITORIAL OR ADVERTISING?</w:t>
            </w:r>
          </w:p>
          <w:p>
            <w:pPr>
              <w:jc w:val="center"/>
            </w:pPr>
            <w:r>
              <w:rPr>
                <w:color w:val="FFFFFF"/>
                <w:sz w:val="19"/>
              </w:rPr>
              <w:t>Contact the Women's IP Alliance / Women's IP World team to discuss the most suitable opportunity and claim your member-exclusive 35% rate.</w:t>
            </w:r>
          </w:p>
        </w:tc>
      </w:tr>
    </w:tbl>
    <w:p/>
    <w:p>
      <w:pPr>
        <w:jc w:val="center"/>
      </w:pPr>
      <w:r>
        <w:rPr>
          <w:b/>
          <w:color w:val="032549"/>
        </w:rPr>
        <w:t>The Women's IP World  |  www.womensipworld.com</w:t>
      </w:r>
    </w:p>
    <w:p>
      <w:pPr>
        <w:jc w:val="center"/>
      </w:pPr>
      <w:r>
        <w:rPr>
          <w:i/>
          <w:color w:val="666666"/>
          <w:sz w:val="17"/>
        </w:rPr>
        <w:t>Exclusive benefit for active Women's IP Alliance members.</w:t>
      </w:r>
    </w:p>
    <w:sectPr w:rsidR="00FC693F" w:rsidRPr="0006063C" w:rsidSect="00034616">
      <w:headerReference w:type="default" r:id="rId9"/>
      <w:footerReference w:type="default" r:id="rId10"/>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Prepared for The Women's IP Alliance member resources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7456A8"/>
        <w:sz w:val="16"/>
      </w:rPr>
      <w:t>THE WOMEN'S IP ALLIANCE  |  MEMBER BENEFIT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3254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7456A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3254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