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F5597"/>
          <w:sz w:val="26"/>
        </w:rPr>
        <w:t>BRAIN4SALES</w:t>
      </w:r>
    </w:p>
    <w:p>
      <w:pPr>
        <w:jc w:val="center"/>
      </w:pPr>
      <w:r>
        <w:rPr>
          <w:b/>
          <w:color w:val="17365D"/>
          <w:sz w:val="42"/>
        </w:rPr>
        <w:t>РЕГЛАМЕНТ ЗАГРУЗКИ И ВАЛИДАЦИИ ОСВ</w:t>
      </w:r>
    </w:p>
    <w:p>
      <w:pPr>
        <w:jc w:val="center"/>
      </w:pPr>
      <w:r>
        <w:rPr>
          <w:i/>
          <w:sz w:val="22"/>
        </w:rPr>
        <w:t>Стандартизированный механизм почтовой поставки данных для мониторинга более 60 предприятий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2F5597"/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Параметр</w:t>
            </w:r>
          </w:p>
        </w:tc>
        <w:tc>
          <w:tcPr>
            <w:tcW w:type="dxa" w:w="4986"/>
            <w:shd w:fill="2F5597"/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Значение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Назначение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Историческое наполнение, ежедневная актуализация, контроль качества и предотвращение потери данных</w:t>
            </w:r>
          </w:p>
        </w:tc>
      </w:tr>
      <w:tr>
        <w:tc>
          <w:tcPr>
            <w:tcW w:type="dxa" w:w="4986"/>
            <w:vAlign w:val="center"/>
            <w:shd w:fill="EAF0F8"/>
          </w:tcPr>
          <w:p>
            <w:r/>
            <w:r>
              <w:rPr>
                <w:rFonts w:ascii="Arial" w:hAnsi="Arial"/>
                <w:b w:val="0"/>
                <w:sz w:val="18"/>
              </w:rPr>
              <w:t>Канал поставки</w:t>
            </w:r>
          </w:p>
        </w:tc>
        <w:tc>
          <w:tcPr>
            <w:tcW w:type="dxa" w:w="4986"/>
            <w:vAlign w:val="center"/>
            <w:shd w:fill="EAF0F8"/>
          </w:tcPr>
          <w:p>
            <w:r/>
            <w:r>
              <w:rPr>
                <w:rFonts w:ascii="Arial" w:hAnsi="Arial"/>
                <w:b w:val="0"/>
                <w:sz w:val="18"/>
              </w:rPr>
              <w:t>Электронная почта; прямая интеграция с 1С не требуется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Основной формат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XLSX; допускается XLS; один стандартизированный ZIP-пакет</w:t>
            </w:r>
          </w:p>
        </w:tc>
      </w:tr>
      <w:tr>
        <w:tc>
          <w:tcPr>
            <w:tcW w:type="dxa" w:w="4986"/>
            <w:vAlign w:val="center"/>
            <w:shd w:fill="EAF0F8"/>
          </w:tcPr>
          <w:p>
            <w:r/>
            <w:r>
              <w:rPr>
                <w:rFonts w:ascii="Arial" w:hAnsi="Arial"/>
                <w:b w:val="0"/>
                <w:sz w:val="18"/>
              </w:rPr>
              <w:t>Периоды первичной загрузки</w:t>
            </w:r>
          </w:p>
        </w:tc>
        <w:tc>
          <w:tcPr>
            <w:tcW w:type="dxa" w:w="4986"/>
            <w:vAlign w:val="center"/>
            <w:shd w:fill="EAF0F8"/>
          </w:tcPr>
          <w:p>
            <w:r/>
            <w:r>
              <w:rPr>
                <w:rFonts w:ascii="Arial" w:hAnsi="Arial"/>
                <w:b w:val="0"/>
                <w:sz w:val="18"/>
              </w:rPr>
              <w:t>2025 год полностью и 2026 год с 1 января по текущую дату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Контроль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Полная сводная ОСВ и автоматическая сверка до 1 копейки</w:t>
            </w:r>
          </w:p>
        </w:tc>
      </w:tr>
    </w:tbl>
    <w:p/>
    <w:p>
      <w:pPr>
        <w:pStyle w:val="Heading1"/>
      </w:pPr>
      <w:r>
        <w:t>1. Цель и область применения</w:t>
      </w:r>
    </w:p>
    <w:p>
      <w:r>
        <w:t>Регламент устанавливает единый порядок формирования, отправки, приёма, проверки, версионирования и активации оборотно-сальдовых ведомостей (ОСВ), поступающих от бухгалтерий предприятий по электронной почте. Он применяется ко всем предприятиям, подключённым к brain4sales.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3"/>
      </w:tblGrid>
      <w:tr>
        <w:tc>
          <w:tcPr>
            <w:tcW w:type="dxa" w:w="9973"/>
            <w:shd w:fill="D9EAF7"/>
          </w:tcPr>
          <w:p>
            <w:r>
              <w:rPr>
                <w:b/>
              </w:rPr>
              <w:t xml:space="preserve">Главный принцип: </w:t>
            </w:r>
            <w:r>
              <w:t>письмо и вложения сначала сохраняются как неизменяемые первичные документы. Метрики обновляются только после полного разбора и успешной валидации нового снимка данных.</w:t>
            </w:r>
          </w:p>
        </w:tc>
      </w:tr>
    </w:tbl>
    <w:p/>
    <w:p>
      <w:pPr>
        <w:pStyle w:val="Heading1"/>
      </w:pPr>
      <w:r>
        <w:t>2. Архитектура процесса</w:t>
      </w:r>
    </w:p>
    <w:p>
      <w:r>
        <w:t>Стандартный конвейер обработки:</w:t>
      </w:r>
    </w:p>
    <w:p>
      <w:pPr>
        <w:pStyle w:val="ListNumber"/>
      </w:pPr>
      <w:r>
        <w:t>Приём письма на выделенный адрес предприятия.</w:t>
      </w:r>
    </w:p>
    <w:p>
      <w:pPr>
        <w:pStyle w:val="ListNumber"/>
      </w:pPr>
      <w:r>
        <w:t>Сохранение оригинала письма и вложений.</w:t>
      </w:r>
    </w:p>
    <w:p>
      <w:pPr>
        <w:pStyle w:val="ListNumber"/>
      </w:pPr>
      <w:r>
        <w:t>Идентификация предприятия по адресу, отправителю, ИНН и данным внутри файла.</w:t>
      </w:r>
    </w:p>
    <w:p>
      <w:pPr>
        <w:pStyle w:val="ListNumber"/>
      </w:pPr>
      <w:r>
        <w:t>Проверка комплекта и форматов.</w:t>
      </w:r>
    </w:p>
    <w:p>
      <w:pPr>
        <w:pStyle w:val="ListNumber"/>
      </w:pPr>
      <w:r>
        <w:t>Разбор во временную staging-версию без изменения рабочих метрик.</w:t>
      </w:r>
    </w:p>
    <w:p>
      <w:pPr>
        <w:pStyle w:val="ListNumber"/>
      </w:pPr>
      <w:r>
        <w:t>Бухгалтерская и межфайловая валидация.</w:t>
      </w:r>
    </w:p>
    <w:p>
      <w:pPr>
        <w:pStyle w:val="ListNumber"/>
      </w:pPr>
      <w:r>
        <w:t>Определение дубликата либо новой ревизии.</w:t>
      </w:r>
    </w:p>
    <w:p>
      <w:pPr>
        <w:pStyle w:val="ListNumber"/>
      </w:pPr>
      <w:r>
        <w:t>Атомарная активация согласованного снимка.</w:t>
      </w:r>
    </w:p>
    <w:p>
      <w:pPr>
        <w:pStyle w:val="ListNumber"/>
      </w:pPr>
      <w:r>
        <w:t>Пересчёт метрик и отправка квитанции отправителю.</w:t>
      </w:r>
    </w:p>
    <w:p>
      <w:pPr>
        <w:pStyle w:val="Heading1"/>
      </w:pPr>
      <w:r>
        <w:t>3. Первичное историческое наполнение</w:t>
      </w:r>
    </w:p>
    <w:p>
      <w:pPr>
        <w:pStyle w:val="Heading2"/>
      </w:pPr>
      <w:r>
        <w:t>3.1. Полная сводная ОСВ</w:t>
      </w:r>
    </w:p>
    <w:p>
      <w:r>
        <w:t>Для каждого предприятия необходимо запросить две полные сводные ОСВ:</w:t>
      </w:r>
    </w:p>
    <w:p>
      <w:pPr>
        <w:pStyle w:val="ListBullet"/>
      </w:pPr>
      <w:r>
        <w:t>за 01.01.2025–31.12.2025;</w:t>
      </w:r>
    </w:p>
    <w:p>
      <w:pPr>
        <w:pStyle w:val="ListBullet"/>
      </w:pPr>
      <w:r>
        <w:t>за 01.01.2026–последнюю закрытую дату.</w:t>
      </w:r>
    </w:p>
    <w:p>
      <w:r>
        <w:t>Настройки: все счета и субсчета; начальные и конечные сальдо; дебетовые и кредитовые обороты; бухгалтерский учёт; суммы в рублях без округления.</w:t>
      </w:r>
    </w:p>
    <w:p>
      <w:r>
        <w:t>Сводная ОСВ является контрольным снимком: подтверждает общий баланс, полноту состава счетов и нулевые значения отсутствующих счетов. Она не заменяет суточную детализацию.</w:t>
      </w:r>
    </w:p>
    <w:p>
      <w:pPr>
        <w:pStyle w:val="Heading2"/>
      </w:pPr>
      <w:r>
        <w:t>3.2. Суточная детализация</w:t>
      </w:r>
    </w:p>
    <w:p>
      <w:r>
        <w:t>Не требуется формировать 365 отдельных писем. По каждому обязательному счёту формируется отчёт за длинный период с группировкой по дням:</w:t>
      </w:r>
    </w:p>
    <w:p>
      <w:pPr>
        <w:pStyle w:val="ListBullet"/>
      </w:pPr>
      <w:r>
        <w:t>01.01.2025–31.12.2025;</w:t>
      </w:r>
    </w:p>
    <w:p>
      <w:pPr>
        <w:pStyle w:val="ListBullet"/>
      </w:pPr>
      <w:r>
        <w:t>01.01.2026–текущая дата.</w:t>
      </w:r>
    </w:p>
    <w:p>
      <w:r>
        <w:t>Обязательные параметры: все субсчета и уровни аналитики/субконто, начальное и конечное сальдо, обороты по дебету и кредиту, бухгалтерский учёт, рубли без округления.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268"/>
            <w:shd w:fill="2F5597"/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Группа</w:t>
            </w:r>
          </w:p>
        </w:tc>
        <w:tc>
          <w:tcPr>
            <w:tcW w:type="dxa" w:w="2835"/>
            <w:shd w:fill="2F5597"/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Счета</w:t>
            </w:r>
          </w:p>
        </w:tc>
        <w:tc>
          <w:tcPr>
            <w:tcW w:type="dxa" w:w="4535"/>
            <w:shd w:fill="2F5597"/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Назначение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Основные показатели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50, 51, 52, 55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Денежные средства</w:t>
            </w:r>
          </w:p>
        </w:tc>
      </w:tr>
      <w:tr>
        <w:tc>
          <w:tcPr>
            <w:tcW w:type="dxa" w:w="2268"/>
            <w:vAlign w:val="center"/>
            <w:shd w:fill="EAF0F8"/>
          </w:tcPr>
          <w:p>
            <w:r/>
            <w:r>
              <w:rPr>
                <w:rFonts w:ascii="Arial" w:hAnsi="Arial"/>
                <w:b w:val="0"/>
                <w:sz w:val="18"/>
              </w:rPr>
              <w:t>Расчёты</w:t>
            </w:r>
          </w:p>
        </w:tc>
        <w:tc>
          <w:tcPr>
            <w:tcW w:type="dxa" w:w="2835"/>
            <w:vAlign w:val="center"/>
            <w:shd w:fill="EAF0F8"/>
          </w:tcPr>
          <w:p>
            <w:r/>
            <w:r>
              <w:rPr>
                <w:rFonts w:ascii="Arial" w:hAnsi="Arial"/>
                <w:b w:val="0"/>
                <w:sz w:val="18"/>
              </w:rPr>
              <w:t>60, 62</w:t>
            </w:r>
          </w:p>
        </w:tc>
        <w:tc>
          <w:tcPr>
            <w:tcW w:type="dxa" w:w="4535"/>
            <w:vAlign w:val="center"/>
            <w:shd w:fill="EAF0F8"/>
          </w:tcPr>
          <w:p>
            <w:r/>
            <w:r>
              <w:rPr>
                <w:rFonts w:ascii="Arial" w:hAnsi="Arial"/>
                <w:b w:val="0"/>
                <w:sz w:val="18"/>
              </w:rPr>
              <w:t>КЗ, ДЗ, авансы, собираемость, DPO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Труд и взносы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69, 70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Задолженность по оплате труда и страховые расчёты</w:t>
            </w:r>
          </w:p>
        </w:tc>
      </w:tr>
      <w:tr>
        <w:tc>
          <w:tcPr>
            <w:tcW w:type="dxa" w:w="2268"/>
            <w:vAlign w:val="center"/>
            <w:shd w:fill="EAF0F8"/>
          </w:tcPr>
          <w:p>
            <w:r/>
            <w:r>
              <w:rPr>
                <w:rFonts w:ascii="Arial" w:hAnsi="Arial"/>
                <w:b w:val="0"/>
                <w:sz w:val="18"/>
              </w:rPr>
              <w:t>Финансовый результат</w:t>
            </w:r>
          </w:p>
        </w:tc>
        <w:tc>
          <w:tcPr>
            <w:tcW w:type="dxa" w:w="2835"/>
            <w:vAlign w:val="center"/>
            <w:shd w:fill="EAF0F8"/>
          </w:tcPr>
          <w:p>
            <w:r/>
            <w:r>
              <w:rPr>
                <w:rFonts w:ascii="Arial" w:hAnsi="Arial"/>
                <w:b w:val="0"/>
                <w:sz w:val="18"/>
              </w:rPr>
              <w:t>90</w:t>
            </w:r>
          </w:p>
        </w:tc>
        <w:tc>
          <w:tcPr>
            <w:tcW w:type="dxa" w:w="4535"/>
            <w:vAlign w:val="center"/>
            <w:shd w:fill="EAF0F8"/>
          </w:tcPr>
          <w:p>
            <w:r/>
            <w:r>
              <w:rPr>
                <w:rFonts w:ascii="Arial" w:hAnsi="Arial"/>
                <w:b w:val="0"/>
                <w:sz w:val="18"/>
              </w:rPr>
              <w:t>Выручка, НДС, себестоимость и прибыль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Инвестиции и долг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08, 66, 67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Капвложения, кредиты и займы</w:t>
            </w:r>
          </w:p>
        </w:tc>
      </w:tr>
      <w:tr>
        <w:tc>
          <w:tcPr>
            <w:tcW w:type="dxa" w:w="2268"/>
            <w:vAlign w:val="center"/>
            <w:shd w:fill="EAF0F8"/>
          </w:tcPr>
          <w:p>
            <w:r/>
            <w:r>
              <w:rPr>
                <w:rFonts w:ascii="Arial" w:hAnsi="Arial"/>
                <w:b w:val="0"/>
                <w:sz w:val="18"/>
              </w:rPr>
              <w:t>Структура затрат</w:t>
            </w:r>
          </w:p>
        </w:tc>
        <w:tc>
          <w:tcPr>
            <w:tcW w:type="dxa" w:w="2835"/>
            <w:vAlign w:val="center"/>
            <w:shd w:fill="EAF0F8"/>
          </w:tcPr>
          <w:p>
            <w:r/>
            <w:r>
              <w:rPr>
                <w:rFonts w:ascii="Arial" w:hAnsi="Arial"/>
                <w:b w:val="0"/>
                <w:sz w:val="18"/>
              </w:rPr>
              <w:t>20, 25, 26, 44</w:t>
            </w:r>
          </w:p>
        </w:tc>
        <w:tc>
          <w:tcPr>
            <w:tcW w:type="dxa" w:w="4535"/>
            <w:vAlign w:val="center"/>
            <w:shd w:fill="EAF0F8"/>
          </w:tcPr>
          <w:p>
            <w:r/>
            <w:r>
              <w:rPr>
                <w:rFonts w:ascii="Arial" w:hAnsi="Arial"/>
                <w:b w:val="0"/>
                <w:sz w:val="18"/>
              </w:rPr>
              <w:t>Формирование и структура затрат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Дополнительная аналитика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01, 02, 10, 19, 68, 76, 91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Основные средства, запасы, налоги, прочие расчёты и результаты</w:t>
            </w:r>
          </w:p>
        </w:tc>
      </w:tr>
    </w:tbl>
    <w:p/>
    <w:p>
      <w:pPr>
        <w:pStyle w:val="Heading2"/>
      </w:pPr>
      <w:r>
        <w:t>3.3. Контрольные периодные отчёты</w:t>
      </w:r>
    </w:p>
    <w:p>
      <w:r>
        <w:t>Рекомендуется запросить сводные ОСВ за каждый месяц 2025 года и каждый закрытый месяц 2026 года. Минимально допустимый комплект — сводные ОСВ на конец каждого квартала. Они нужны для проверки, что сумма суточных движений сходится с периодными итогами и для локализации исторических расхождений.</w:t>
      </w:r>
    </w:p>
    <w:p>
      <w:pPr>
        <w:pStyle w:val="Heading1"/>
      </w:pPr>
      <w:r>
        <w:t>4. Регулярность поставки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701"/>
            <w:shd w:fill="2F5597"/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Периодичность</w:t>
            </w:r>
          </w:p>
        </w:tc>
        <w:tc>
          <w:tcPr>
            <w:tcW w:type="dxa" w:w="3969"/>
            <w:shd w:fill="2F5597"/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Состав</w:t>
            </w:r>
          </w:p>
        </w:tc>
        <w:tc>
          <w:tcPr>
            <w:tcW w:type="dxa" w:w="2268"/>
            <w:shd w:fill="2F5597"/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Срок</w:t>
            </w:r>
          </w:p>
        </w:tc>
        <w:tc>
          <w:tcPr>
            <w:tcW w:type="dxa" w:w="3402"/>
            <w:shd w:fill="2F5597"/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Назначение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Ежедневно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50, 51, 52, 55, 60, 62, 69, 70, 90; накопительно с 1 января, группировка по дням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До 10:00 следующего рабочего дня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Оперативный мониторинг, самовосстановление пропусков и исправлений</w:t>
            </w:r>
          </w:p>
        </w:tc>
      </w:tr>
      <w:tr>
        <w:tc>
          <w:tcPr>
            <w:tcW w:type="dxa" w:w="1701"/>
            <w:vAlign w:val="center"/>
            <w:shd w:fill="EAF0F8"/>
          </w:tcPr>
          <w:p>
            <w:r/>
            <w:r>
              <w:rPr>
                <w:rFonts w:ascii="Arial" w:hAnsi="Arial"/>
                <w:b w:val="0"/>
                <w:sz w:val="18"/>
              </w:rPr>
              <w:t>Еженедельно</w:t>
            </w:r>
          </w:p>
        </w:tc>
        <w:tc>
          <w:tcPr>
            <w:tcW w:type="dxa" w:w="3969"/>
            <w:vAlign w:val="center"/>
            <w:shd w:fill="EAF0F8"/>
          </w:tcPr>
          <w:p>
            <w:r/>
            <w:r>
              <w:rPr>
                <w:rFonts w:ascii="Arial" w:hAnsi="Arial"/>
                <w:b w:val="0"/>
                <w:sz w:val="18"/>
              </w:rPr>
              <w:t>08, 20, 25, 26, 44, 66, 67, 68, 76, 91; накопительно с 1 января</w:t>
            </w:r>
          </w:p>
        </w:tc>
        <w:tc>
          <w:tcPr>
            <w:tcW w:type="dxa" w:w="2268"/>
            <w:vAlign w:val="center"/>
            <w:shd w:fill="EAF0F8"/>
          </w:tcPr>
          <w:p>
            <w:r/>
            <w:r>
              <w:rPr>
                <w:rFonts w:ascii="Arial" w:hAnsi="Arial"/>
                <w:b w:val="0"/>
                <w:sz w:val="18"/>
              </w:rPr>
              <w:t>Каждый понедельник</w:t>
            </w:r>
          </w:p>
        </w:tc>
        <w:tc>
          <w:tcPr>
            <w:tcW w:type="dxa" w:w="3402"/>
            <w:vAlign w:val="center"/>
            <w:shd w:fill="EAF0F8"/>
          </w:tcPr>
          <w:p>
            <w:r/>
            <w:r>
              <w:rPr>
                <w:rFonts w:ascii="Arial" w:hAnsi="Arial"/>
                <w:b w:val="0"/>
                <w:sz w:val="18"/>
              </w:rPr>
              <w:t>Дополнительные показатели и контроль структуры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Ежемесячно, предварительно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Полная сводная ОСВ + детальные обязательные счета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До 3-го рабочего дня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Предварительное закрытие</w:t>
            </w:r>
          </w:p>
        </w:tc>
      </w:tr>
      <w:tr>
        <w:tc>
          <w:tcPr>
            <w:tcW w:type="dxa" w:w="1701"/>
            <w:vAlign w:val="center"/>
            <w:shd w:fill="EAF0F8"/>
          </w:tcPr>
          <w:p>
            <w:r/>
            <w:r>
              <w:rPr>
                <w:rFonts w:ascii="Arial" w:hAnsi="Arial"/>
                <w:b w:val="0"/>
                <w:sz w:val="18"/>
              </w:rPr>
              <w:t>Ежемесячно, окончательно</w:t>
            </w:r>
          </w:p>
        </w:tc>
        <w:tc>
          <w:tcPr>
            <w:tcW w:type="dxa" w:w="3969"/>
            <w:vAlign w:val="center"/>
            <w:shd w:fill="EAF0F8"/>
          </w:tcPr>
          <w:p>
            <w:r/>
            <w:r>
              <w:rPr>
                <w:rFonts w:ascii="Arial" w:hAnsi="Arial"/>
                <w:b w:val="0"/>
                <w:sz w:val="18"/>
              </w:rPr>
              <w:t>Финальная ревизия полного месячного пакета</w:t>
            </w:r>
          </w:p>
        </w:tc>
        <w:tc>
          <w:tcPr>
            <w:tcW w:type="dxa" w:w="2268"/>
            <w:vAlign w:val="center"/>
            <w:shd w:fill="EAF0F8"/>
          </w:tcPr>
          <w:p>
            <w:r/>
            <w:r>
              <w:rPr>
                <w:rFonts w:ascii="Arial" w:hAnsi="Arial"/>
                <w:b w:val="0"/>
                <w:sz w:val="18"/>
              </w:rPr>
              <w:t>До 10-го рабочего дня</w:t>
            </w:r>
          </w:p>
        </w:tc>
        <w:tc>
          <w:tcPr>
            <w:tcW w:type="dxa" w:w="3402"/>
            <w:vAlign w:val="center"/>
            <w:shd w:fill="EAF0F8"/>
          </w:tcPr>
          <w:p>
            <w:r/>
            <w:r>
              <w:rPr>
                <w:rFonts w:ascii="Arial" w:hAnsi="Arial"/>
                <w:b w:val="0"/>
                <w:sz w:val="18"/>
              </w:rPr>
              <w:t>Фиксация закрытого месяца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Ежегодно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Финальная сводная ОСВ и суточная детализация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После закрытия года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Фиксация базы АПГ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3"/>
      </w:tblGrid>
      <w:tr>
        <w:tc>
          <w:tcPr>
            <w:tcW w:type="dxa" w:w="9973"/>
            <w:shd w:fill="D9EAF7"/>
          </w:tcPr>
          <w:p>
            <w:r>
              <w:rPr>
                <w:b/>
              </w:rPr>
              <w:t xml:space="preserve">Почему накопительно: </w:t>
            </w:r>
            <w:r>
              <w:t>следующий пакет восстанавливает пропущенное письмо и обнаруживает проводки, изменённые задним числом. Накопительные пакеты не суммируются: каждый новый пакет является ревизией периода.</w:t>
            </w:r>
          </w:p>
        </w:tc>
      </w:tr>
    </w:tbl>
    <w:p/>
    <w:p>
      <w:pPr>
        <w:pStyle w:val="Heading1"/>
      </w:pPr>
      <w:r>
        <w:t>5. Стандарт электронного письма</w:t>
      </w:r>
    </w:p>
    <w:p>
      <w:pPr>
        <w:pStyle w:val="Heading2"/>
      </w:pPr>
      <w:r>
        <w:t>5.1. Адреса и идентификация</w:t>
      </w:r>
    </w:p>
    <w:p>
      <w:r>
        <w:t>Каждому предприятию назначается отдельный адрес или почтовый псевдоним вида osv.&lt;код_предприятия&gt;@домен. В системе регистрируются ИНН, официальное название, разрешённые отправители, ответственные сотрудники, часовой пояс и рабочий календарь.</w:t>
      </w:r>
    </w:p>
    <w:p>
      <w:pPr>
        <w:pStyle w:val="Heading2"/>
      </w:pPr>
      <w:r>
        <w:t>5.2. Тема и имена файлов</w:t>
      </w:r>
    </w:p>
    <w:p>
      <w:r>
        <w:t>Тема: B4S | &lt;ИНН&gt; | OSV | &lt;дата данных&gt; | &lt;тип пакета&gt; | &lt;ревизия&gt;</w:t>
      </w:r>
    </w:p>
    <w:p>
      <w:r>
        <w:t>Пример: B4S | 1234567890 | OSV | 2026-09-15 | DAILY | R01</w:t>
      </w:r>
    </w:p>
    <w:p>
      <w:r>
        <w:t>Архив: &lt;ИНН&gt;_OSV_&lt;дата&gt;_&lt;тип&gt;_&lt;ревизия&gt;.zip</w:t>
      </w:r>
    </w:p>
    <w:p>
      <w:r>
        <w:t>Файл: &lt;ИНН&gt;_OSV_&lt;счёт&gt;_&lt;начало&gt;_&lt;конец&gt;_DAY.xlsx</w:t>
      </w:r>
    </w:p>
    <w:p>
      <w:r>
        <w:t>Допустимые типы пакетов: HISTORY, DAILY, WEEKLY, MONTH_PRELIMINARY, MONTH_FINAL, YEAR_FINAL, CORRECTION.</w:t>
      </w:r>
    </w:p>
    <w:p>
      <w:pPr>
        <w:pStyle w:val="Heading2"/>
      </w:pPr>
      <w:r>
        <w:t>5.3. Размер пакета</w:t>
      </w:r>
    </w:p>
    <w:p>
      <w:pPr>
        <w:pStyle w:val="ListBullet"/>
      </w:pPr>
      <w:r>
        <w:t>желательный размер письма — до 15 МБ;</w:t>
      </w:r>
    </w:p>
    <w:p>
      <w:pPr>
        <w:pStyle w:val="ListBullet"/>
      </w:pPr>
      <w:r>
        <w:t>предельный размер — до 20 МБ;</w:t>
      </w:r>
    </w:p>
    <w:p>
      <w:pPr>
        <w:pStyle w:val="ListBullet"/>
      </w:pPr>
      <w:r>
        <w:t>один ZIP без пароля;</w:t>
      </w:r>
    </w:p>
    <w:p>
      <w:pPr>
        <w:pStyle w:val="ListBullet"/>
      </w:pPr>
      <w:r>
        <w:t>крупный пакет делится на PART01, PART02 и активируется только после получения всех частей;</w:t>
      </w:r>
    </w:p>
    <w:p>
      <w:pPr>
        <w:pStyle w:val="ListBullet"/>
      </w:pPr>
      <w:r>
        <w:t>PDF, изображения и вручную исправленные таблицы не принимаются как бухгалтерский источник.</w:t>
      </w:r>
    </w:p>
    <w:p>
      <w:pPr>
        <w:pStyle w:val="Heading1"/>
      </w:pPr>
      <w:r>
        <w:t>6. Защита от дублей и ревизии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701"/>
            <w:shd w:fill="2F5597"/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Уровень</w:t>
            </w:r>
          </w:p>
        </w:tc>
        <w:tc>
          <w:tcPr>
            <w:tcW w:type="dxa" w:w="3969"/>
            <w:shd w:fill="2F5597"/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Проверка</w:t>
            </w:r>
          </w:p>
        </w:tc>
        <w:tc>
          <w:tcPr>
            <w:tcW w:type="dxa" w:w="4535"/>
            <w:shd w:fill="2F5597"/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Действие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Письмо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Message-ID, отправитель, дата, контрольная сумма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Повтор не запускает новый импорт</w:t>
            </w:r>
          </w:p>
        </w:tc>
      </w:tr>
      <w:tr>
        <w:tc>
          <w:tcPr>
            <w:tcW w:type="dxa" w:w="1701"/>
            <w:vAlign w:val="center"/>
            <w:shd w:fill="EAF0F8"/>
          </w:tcPr>
          <w:p>
            <w:r/>
            <w:r>
              <w:rPr>
                <w:rFonts w:ascii="Arial" w:hAnsi="Arial"/>
                <w:b w:val="0"/>
                <w:sz w:val="18"/>
              </w:rPr>
              <w:t>Файл</w:t>
            </w:r>
          </w:p>
        </w:tc>
        <w:tc>
          <w:tcPr>
            <w:tcW w:type="dxa" w:w="3969"/>
            <w:vAlign w:val="center"/>
            <w:shd w:fill="EAF0F8"/>
          </w:tcPr>
          <w:p>
            <w:r/>
            <w:r>
              <w:rPr>
                <w:rFonts w:ascii="Arial" w:hAnsi="Arial"/>
                <w:b w:val="0"/>
                <w:sz w:val="18"/>
              </w:rPr>
              <w:t>SHA-256 исходного вложения</w:t>
            </w:r>
          </w:p>
        </w:tc>
        <w:tc>
          <w:tcPr>
            <w:tcW w:type="dxa" w:w="4535"/>
            <w:vAlign w:val="center"/>
            <w:shd w:fill="EAF0F8"/>
          </w:tcPr>
          <w:p>
            <w:r/>
            <w:r>
              <w:rPr>
                <w:rFonts w:ascii="Arial" w:hAnsi="Arial"/>
                <w:b w:val="0"/>
                <w:sz w:val="18"/>
              </w:rPr>
              <w:t>Фиксируется повторная доставка без новых строк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Содержимое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Смысловой хеш нормализованных строк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Разные служебные метаданные не создают дубликат данных</w:t>
            </w:r>
          </w:p>
        </w:tc>
      </w:tr>
      <w:tr>
        <w:tc>
          <w:tcPr>
            <w:tcW w:type="dxa" w:w="1701"/>
            <w:vAlign w:val="center"/>
            <w:shd w:fill="EAF0F8"/>
          </w:tcPr>
          <w:p>
            <w:r/>
            <w:r>
              <w:rPr>
                <w:rFonts w:ascii="Arial" w:hAnsi="Arial"/>
                <w:b w:val="0"/>
                <w:sz w:val="18"/>
              </w:rPr>
              <w:t>Ревизия</w:t>
            </w:r>
          </w:p>
        </w:tc>
        <w:tc>
          <w:tcPr>
            <w:tcW w:type="dxa" w:w="3969"/>
            <w:vAlign w:val="center"/>
            <w:shd w:fill="EAF0F8"/>
          </w:tcPr>
          <w:p>
            <w:r/>
            <w:r>
              <w:rPr>
                <w:rFonts w:ascii="Arial" w:hAnsi="Arial"/>
                <w:b w:val="0"/>
                <w:sz w:val="18"/>
              </w:rPr>
              <w:t>Предприятие, счёт и период совпадают, суммы различаются</w:t>
            </w:r>
          </w:p>
        </w:tc>
        <w:tc>
          <w:tcPr>
            <w:tcW w:type="dxa" w:w="4535"/>
            <w:vAlign w:val="center"/>
            <w:shd w:fill="EAF0F8"/>
          </w:tcPr>
          <w:p>
            <w:r/>
            <w:r>
              <w:rPr>
                <w:rFonts w:ascii="Arial" w:hAnsi="Arial"/>
                <w:b w:val="0"/>
                <w:sz w:val="18"/>
              </w:rPr>
              <w:t>Создаётся новая версия; старая сохраняется; строится разница</w:t>
            </w:r>
          </w:p>
        </w:tc>
      </w:tr>
    </w:tbl>
    <w:p/>
    <w:p>
      <w:r>
        <w:t>Ревизии нельзя объединять построчно без происхождения. Один активный снимок должен содержать согласованные версии всех компонентов метрики.</w:t>
      </w:r>
    </w:p>
    <w:p>
      <w:pPr>
        <w:pStyle w:val="Heading1"/>
      </w:pPr>
      <w:r>
        <w:t>7. Валидация данных</w:t>
      </w:r>
    </w:p>
    <w:p>
      <w:pPr>
        <w:pStyle w:val="Heading2"/>
      </w:pPr>
      <w:r>
        <w:t>7.1. Структурные проверки</w:t>
      </w:r>
    </w:p>
    <w:p>
      <w:pPr>
        <w:pStyle w:val="ListBullet"/>
      </w:pPr>
      <w:r>
        <w:t>формат файла поддерживается и файл открывается;</w:t>
      </w:r>
    </w:p>
    <w:p>
      <w:pPr>
        <w:pStyle w:val="ListBullet"/>
      </w:pPr>
      <w:r>
        <w:t>присутствуют обязательные колонки, даты и коды счетов;</w:t>
      </w:r>
    </w:p>
    <w:p>
      <w:pPr>
        <w:pStyle w:val="ListBullet"/>
      </w:pPr>
      <w:r>
        <w:t>суммы являются числами и не округлены до тысяч или миллионов;</w:t>
      </w:r>
    </w:p>
    <w:p>
      <w:pPr>
        <w:pStyle w:val="ListBullet"/>
      </w:pPr>
      <w:r>
        <w:t>период внутри файла совпадает с темой и именем;</w:t>
      </w:r>
    </w:p>
    <w:p>
      <w:pPr>
        <w:pStyle w:val="ListBullet"/>
      </w:pPr>
      <w:r>
        <w:t>предприятие подтверждено адресом, отправителем, ИНН и содержимым;</w:t>
      </w:r>
    </w:p>
    <w:p>
      <w:pPr>
        <w:pStyle w:val="ListBullet"/>
      </w:pPr>
      <w:r>
        <w:t>комплект содержит все обязательные части.</w:t>
      </w:r>
    </w:p>
    <w:p>
      <w:pPr>
        <w:pStyle w:val="Heading2"/>
      </w:pPr>
      <w:r>
        <w:t>7.2. Бухгалтерские проверки</w:t>
      </w:r>
    </w:p>
    <w:p>
      <w:r>
        <w:t>Для каждого счёта проверяется равенство подписанного остатка:</w:t>
      </w:r>
    </w:p>
    <w:p>
      <w:pPr>
        <w:jc w:val="center"/>
      </w:pPr>
      <w:r>
        <w:rPr>
          <w:b/>
        </w:rPr>
        <w:t>Начальное сальдо + ОбД − ОбК = Конечное сальдо</w:t>
      </w:r>
    </w:p>
    <w:p>
      <w:pPr>
        <w:pStyle w:val="ListBullet"/>
      </w:pPr>
      <w:r>
        <w:t>допуск — 1 копейка;</w:t>
      </w:r>
    </w:p>
    <w:p>
      <w:pPr>
        <w:pStyle w:val="ListBullet"/>
      </w:pPr>
      <w:r>
        <w:t>сумма субсчетов согласована с родительским счётом;</w:t>
      </w:r>
    </w:p>
    <w:p>
      <w:pPr>
        <w:pStyle w:val="ListBullet"/>
      </w:pPr>
      <w:r>
        <w:t>сумма аналитических листьев согласована с итогом субсчёта;</w:t>
      </w:r>
    </w:p>
    <w:p>
      <w:pPr>
        <w:pStyle w:val="ListBullet"/>
      </w:pPr>
      <w:r>
        <w:t>родительская строка и её потомки не суммируются одновременно;</w:t>
      </w:r>
    </w:p>
    <w:p>
      <w:pPr>
        <w:pStyle w:val="ListBullet"/>
      </w:pPr>
      <w:r>
        <w:t>сумма дневных движений сходится с оборотом периода;</w:t>
      </w:r>
    </w:p>
    <w:p>
      <w:pPr>
        <w:pStyle w:val="ListBullet"/>
      </w:pPr>
      <w:r>
        <w:t>конечное сальдо предыдущего периода согласовано с началом следующего.</w:t>
      </w:r>
    </w:p>
    <w:p>
      <w:pPr>
        <w:pStyle w:val="Heading2"/>
      </w:pPr>
      <w:r>
        <w:t>7.3. Межфайловая и межметрическая сверка</w:t>
      </w:r>
    </w:p>
    <w:p>
      <w:pPr>
        <w:pStyle w:val="ListBullet"/>
      </w:pPr>
      <w:r>
        <w:t>детальные счета сверяются со строками полной сводной ОСВ;</w:t>
      </w:r>
    </w:p>
    <w:p>
      <w:pPr>
        <w:pStyle w:val="ListBullet"/>
      </w:pPr>
      <w:r>
        <w:t>все компоненты одной метрики должны принадлежать одному снимку;</w:t>
      </w:r>
    </w:p>
    <w:p>
      <w:pPr>
        <w:pStyle w:val="ListBullet"/>
      </w:pPr>
      <w:r>
        <w:t>собираемость пересчитывается из отображаемых начислений и оплат;</w:t>
      </w:r>
    </w:p>
    <w:p>
      <w:pPr>
        <w:pStyle w:val="ListBullet"/>
      </w:pPr>
      <w:r>
        <w:t>ДЗ равна дебетовому сальдо 62.01, авансы — кредитовому сальдо 62.02;</w:t>
      </w:r>
    </w:p>
    <w:p>
      <w:pPr>
        <w:pStyle w:val="ListBullet"/>
      </w:pPr>
      <w:r>
        <w:t>КЗ равна кредитовому сальдо 60.01;</w:t>
      </w:r>
    </w:p>
    <w:p>
      <w:pPr>
        <w:pStyle w:val="ListBullet"/>
      </w:pPr>
      <w:r>
        <w:t>себестоимость равна дебетовому обороту 90.02;</w:t>
      </w:r>
    </w:p>
    <w:p>
      <w:pPr>
        <w:pStyle w:val="ListBullet"/>
      </w:pPr>
      <w:r>
        <w:t>DPO использует показанные обороты и остатки;</w:t>
      </w:r>
    </w:p>
    <w:p>
      <w:pPr>
        <w:pStyle w:val="ListBullet"/>
      </w:pPr>
      <w:r>
        <w:t>прибыль использует согласованные 90.01, 90.02, 90.03, 90.07 и 90.08;</w:t>
      </w:r>
    </w:p>
    <w:p>
      <w:pPr>
        <w:pStyle w:val="ListBullet"/>
      </w:pPr>
      <w:r>
        <w:t>статус «Факт» запрещён при смешении ревизий или нарушении равенств.</w:t>
      </w:r>
    </w:p>
    <w:p>
      <w:pPr>
        <w:pStyle w:val="Heading1"/>
      </w:pPr>
      <w:r>
        <w:t>8. Обработка ошибок и карантин</w:t>
      </w:r>
    </w:p>
    <w:p>
      <w:r>
        <w:t>Пакет не активируется, если не совпадает предприятие, повреждён файл, неверно указан период, отсутствуют обязательные части, не сходятся контрольные равенства или обнаружено существенное расхождение с активным снимком.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268"/>
            <w:shd w:fill="2F5597"/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Статус</w:t>
            </w:r>
          </w:p>
        </w:tc>
        <w:tc>
          <w:tcPr>
            <w:tcW w:type="dxa" w:w="7937"/>
            <w:shd w:fill="2F5597"/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Смысл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received</w:t>
            </w:r>
          </w:p>
        </w:tc>
        <w:tc>
          <w:tcPr>
            <w:tcW w:type="dxa" w:w="7937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Письмо и вложения сохранены</w:t>
            </w:r>
          </w:p>
        </w:tc>
      </w:tr>
      <w:tr>
        <w:tc>
          <w:tcPr>
            <w:tcW w:type="dxa" w:w="2268"/>
            <w:vAlign w:val="center"/>
            <w:shd w:fill="EAF0F8"/>
          </w:tcPr>
          <w:p>
            <w:r/>
            <w:r>
              <w:rPr>
                <w:rFonts w:ascii="Arial" w:hAnsi="Arial"/>
                <w:b w:val="0"/>
                <w:sz w:val="18"/>
              </w:rPr>
              <w:t>queued</w:t>
            </w:r>
          </w:p>
        </w:tc>
        <w:tc>
          <w:tcPr>
            <w:tcW w:type="dxa" w:w="7937"/>
            <w:vAlign w:val="center"/>
            <w:shd w:fill="EAF0F8"/>
          </w:tcPr>
          <w:p>
            <w:r/>
            <w:r>
              <w:rPr>
                <w:rFonts w:ascii="Arial" w:hAnsi="Arial"/>
                <w:b w:val="0"/>
                <w:sz w:val="18"/>
              </w:rPr>
              <w:t>Ожидает обработки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processing</w:t>
            </w:r>
          </w:p>
        </w:tc>
        <w:tc>
          <w:tcPr>
            <w:tcW w:type="dxa" w:w="7937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Разбор и проверки выполняются</w:t>
            </w:r>
          </w:p>
        </w:tc>
      </w:tr>
      <w:tr>
        <w:tc>
          <w:tcPr>
            <w:tcW w:type="dxa" w:w="2268"/>
            <w:vAlign w:val="center"/>
            <w:shd w:fill="EAF0F8"/>
          </w:tcPr>
          <w:p>
            <w:r/>
            <w:r>
              <w:rPr>
                <w:rFonts w:ascii="Arial" w:hAnsi="Arial"/>
                <w:b w:val="0"/>
                <w:sz w:val="18"/>
              </w:rPr>
              <w:t>quarantine</w:t>
            </w:r>
          </w:p>
        </w:tc>
        <w:tc>
          <w:tcPr>
            <w:tcW w:type="dxa" w:w="7937"/>
            <w:vAlign w:val="center"/>
            <w:shd w:fill="EAF0F8"/>
          </w:tcPr>
          <w:p>
            <w:r/>
            <w:r>
              <w:rPr>
                <w:rFonts w:ascii="Arial" w:hAnsi="Arial"/>
                <w:b w:val="0"/>
                <w:sz w:val="18"/>
              </w:rPr>
              <w:t>Требуется решение оператора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rejected</w:t>
            </w:r>
          </w:p>
        </w:tc>
        <w:tc>
          <w:tcPr>
            <w:tcW w:type="dxa" w:w="7937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Пакет отклонён с объяснением</w:t>
            </w:r>
          </w:p>
        </w:tc>
      </w:tr>
      <w:tr>
        <w:tc>
          <w:tcPr>
            <w:tcW w:type="dxa" w:w="2268"/>
            <w:vAlign w:val="center"/>
            <w:shd w:fill="EAF0F8"/>
          </w:tcPr>
          <w:p>
            <w:r/>
            <w:r>
              <w:rPr>
                <w:rFonts w:ascii="Arial" w:hAnsi="Arial"/>
                <w:b w:val="0"/>
                <w:sz w:val="18"/>
              </w:rPr>
              <w:t>accepted</w:t>
            </w:r>
          </w:p>
        </w:tc>
        <w:tc>
          <w:tcPr>
            <w:tcW w:type="dxa" w:w="7937"/>
            <w:vAlign w:val="center"/>
            <w:shd w:fill="EAF0F8"/>
          </w:tcPr>
          <w:p>
            <w:r/>
            <w:r>
              <w:rPr>
                <w:rFonts w:ascii="Arial" w:hAnsi="Arial"/>
                <w:b w:val="0"/>
                <w:sz w:val="18"/>
              </w:rPr>
              <w:t>Проверки пройдены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activated</w:t>
            </w:r>
          </w:p>
        </w:tc>
        <w:tc>
          <w:tcPr>
            <w:tcW w:type="dxa" w:w="7937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Версия используется в метриках</w:t>
            </w:r>
          </w:p>
        </w:tc>
      </w:tr>
      <w:tr>
        <w:tc>
          <w:tcPr>
            <w:tcW w:type="dxa" w:w="2268"/>
            <w:vAlign w:val="center"/>
            <w:shd w:fill="EAF0F8"/>
          </w:tcPr>
          <w:p>
            <w:r/>
            <w:r>
              <w:rPr>
                <w:rFonts w:ascii="Arial" w:hAnsi="Arial"/>
                <w:b w:val="0"/>
                <w:sz w:val="18"/>
              </w:rPr>
              <w:t>superseded</w:t>
            </w:r>
          </w:p>
        </w:tc>
        <w:tc>
          <w:tcPr>
            <w:tcW w:type="dxa" w:w="7937"/>
            <w:vAlign w:val="center"/>
            <w:shd w:fill="EAF0F8"/>
          </w:tcPr>
          <w:p>
            <w:r/>
            <w:r>
              <w:rPr>
                <w:rFonts w:ascii="Arial" w:hAnsi="Arial"/>
                <w:b w:val="0"/>
                <w:sz w:val="18"/>
              </w:rPr>
              <w:t>Заменена более новой ревизией</w:t>
            </w:r>
          </w:p>
        </w:tc>
      </w:tr>
    </w:tbl>
    <w:p/>
    <w:p>
      <w:pPr>
        <w:pStyle w:val="Heading1"/>
      </w:pPr>
      <w:r>
        <w:t>9. Защита от потери данных</w:t>
      </w:r>
    </w:p>
    <w:p>
      <w:pPr>
        <w:pStyle w:val="ListBullet"/>
      </w:pPr>
      <w:r>
        <w:t>сохранять оригинал до запуска парсера;</w:t>
      </w:r>
    </w:p>
    <w:p>
      <w:pPr>
        <w:pStyle w:val="ListBullet"/>
      </w:pPr>
      <w:r>
        <w:t>не удалять исходные письма и файлы после импорта;</w:t>
      </w:r>
    </w:p>
    <w:p>
      <w:pPr>
        <w:pStyle w:val="ListBullet"/>
      </w:pPr>
      <w:r>
        <w:t>хранить активную и все предыдущие версии;</w:t>
      </w:r>
    </w:p>
    <w:p>
      <w:pPr>
        <w:pStyle w:val="ListBullet"/>
      </w:pPr>
      <w:r>
        <w:t>фиксировать статусы обработки в БД;</w:t>
      </w:r>
    </w:p>
    <w:p>
      <w:pPr>
        <w:pStyle w:val="ListBullet"/>
      </w:pPr>
      <w:r>
        <w:t>восстанавливать зависшие задания после перезапуска;</w:t>
      </w:r>
    </w:p>
    <w:p>
      <w:pPr>
        <w:pStyle w:val="ListBullet"/>
      </w:pPr>
      <w:r>
        <w:t>активировать пакет одной транзакцией;</w:t>
      </w:r>
    </w:p>
    <w:p>
      <w:pPr>
        <w:pStyle w:val="ListBullet"/>
      </w:pPr>
      <w:r>
        <w:t>делать независимые резервные снимки исходников и нормализованных данных;</w:t>
      </w:r>
    </w:p>
    <w:p>
      <w:pPr>
        <w:pStyle w:val="ListBullet"/>
      </w:pPr>
      <w:r>
        <w:t>не считать доставку письма подтверждением успешного импорта.</w:t>
      </w:r>
    </w:p>
    <w:p>
      <w:pPr>
        <w:pStyle w:val="Heading1"/>
      </w:pPr>
      <w:r>
        <w:t>10. Квитанции отправителю</w:t>
      </w:r>
    </w:p>
    <w:p>
      <w:r>
        <w:t>Система автоматически отвечает на каждое письмо: принято, дубликат, карантин либо отклонено. Ответ содержит предприятие, период, перечень принятых счетов, идентификатор версии и понятную причину ошибки. Технические трассировки и внутренние пути не отправляются.</w:t>
      </w:r>
    </w:p>
    <w:p>
      <w:pPr>
        <w:pStyle w:val="Heading1"/>
      </w:pPr>
      <w:r>
        <w:t>11. Панель операционного контроля</w:t>
      </w:r>
    </w:p>
    <w:p>
      <w:r>
        <w:t>Для всех предприятий используется единая матрица поставок.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2835"/>
            <w:shd w:fill="2F5597"/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Предприятие</w:t>
            </w:r>
          </w:p>
        </w:tc>
        <w:tc>
          <w:tcPr>
            <w:tcW w:type="dxa" w:w="1701"/>
            <w:shd w:fill="2F5597"/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Последняя дата</w:t>
            </w:r>
          </w:p>
        </w:tc>
        <w:tc>
          <w:tcPr>
            <w:tcW w:type="dxa" w:w="2268"/>
            <w:shd w:fill="2F5597"/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Ежедневный пакет</w:t>
            </w:r>
          </w:p>
        </w:tc>
        <w:tc>
          <w:tcPr>
            <w:tcW w:type="dxa" w:w="2268"/>
            <w:shd w:fill="2F5597"/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Недельный пакет</w:t>
            </w:r>
          </w:p>
        </w:tc>
        <w:tc>
          <w:tcPr>
            <w:tcW w:type="dxa" w:w="2268"/>
            <w:shd w:fill="2F5597"/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Месячная сверка</w:t>
            </w:r>
          </w:p>
        </w:tc>
        <w:tc>
          <w:tcPr>
            <w:tcW w:type="dxa" w:w="2268"/>
            <w:shd w:fill="2F5597"/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Ошибки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МУП / организация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дд.мм.гггг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принят / просрочен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принят / ожидается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сверено / расхождение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количество и статус</w:t>
            </w:r>
          </w:p>
        </w:tc>
      </w:tr>
    </w:tbl>
    <w:p/>
    <w:p>
      <w:r>
        <w:t>Цветовые статусы: зелёный — принят и проверен; жёлтый — опоздание или неполный комплект; красный — ошибка/расхождение; серый — поставка не ожидается по календарю.</w:t>
      </w:r>
    </w:p>
    <w:p>
      <w:pPr>
        <w:pStyle w:val="ListBullet"/>
      </w:pPr>
      <w:r>
        <w:t>не приславшие данные предприятия и дни просрочки;</w:t>
      </w:r>
    </w:p>
    <w:p>
      <w:pPr>
        <w:pStyle w:val="ListBullet"/>
      </w:pPr>
      <w:r>
        <w:t>отсутствующие счета и части пакета;</w:t>
      </w:r>
    </w:p>
    <w:p>
      <w:pPr>
        <w:pStyle w:val="ListBullet"/>
      </w:pPr>
      <w:r>
        <w:t>дубликаты и изменённые прошлые даты;</w:t>
      </w:r>
    </w:p>
    <w:p>
      <w:pPr>
        <w:pStyle w:val="ListBullet"/>
      </w:pPr>
      <w:r>
        <w:t>разница между ревизиями;</w:t>
      </w:r>
    </w:p>
    <w:p>
      <w:pPr>
        <w:pStyle w:val="ListBullet"/>
      </w:pPr>
      <w:r>
        <w:t>ответственный, подтвердивший спорную версию;</w:t>
      </w:r>
    </w:p>
    <w:p>
      <w:pPr>
        <w:pStyle w:val="ListBullet"/>
      </w:pPr>
      <w:r>
        <w:t>источник и версия каждой метрики.</w:t>
      </w:r>
    </w:p>
    <w:p>
      <w:pPr>
        <w:pStyle w:val="Heading1"/>
      </w:pPr>
      <w:r>
        <w:t>12. Исправления задним числом</w:t>
      </w:r>
    </w:p>
    <w:p>
      <w:pPr>
        <w:pStyle w:val="ListNumber"/>
      </w:pPr>
      <w:r>
        <w:t>Бухгалтер формирует новый накопительный отчёт.</w:t>
      </w:r>
    </w:p>
    <w:p>
      <w:pPr>
        <w:pStyle w:val="ListNumber"/>
      </w:pPr>
      <w:r>
        <w:t>Пакет отправляется как обычная новая ревизия либо CORRECTION.</w:t>
      </w:r>
    </w:p>
    <w:p>
      <w:pPr>
        <w:pStyle w:val="ListNumber"/>
      </w:pPr>
      <w:r>
        <w:t>Система показывает изменившиеся даты, строки и суммы.</w:t>
      </w:r>
    </w:p>
    <w:p>
      <w:pPr>
        <w:pStyle w:val="ListNumber"/>
      </w:pPr>
      <w:r>
        <w:t>Новая версия полностью валидируется.</w:t>
      </w:r>
    </w:p>
    <w:p>
      <w:pPr>
        <w:pStyle w:val="ListNumber"/>
      </w:pPr>
      <w:r>
        <w:t>Существенное изменение закрытого месяца требует подтверждения.</w:t>
      </w:r>
    </w:p>
    <w:p>
      <w:pPr>
        <w:pStyle w:val="ListNumber"/>
      </w:pPr>
      <w:r>
        <w:t>После активации пересчитываются показатели и АПГ.</w:t>
      </w:r>
    </w:p>
    <w:p>
      <w:r>
        <w:t>Любое изменение закрытого года должно требовать подтверждения ответственного финансиста или администратора. История предыдущих значений сохраняется.</w:t>
      </w:r>
    </w:p>
    <w:p>
      <w:pPr>
        <w:pStyle w:val="Heading1"/>
      </w:pPr>
      <w:r>
        <w:t>13. Роли и ответственность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835"/>
            <w:shd w:fill="2F5597"/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Роль</w:t>
            </w:r>
          </w:p>
        </w:tc>
        <w:tc>
          <w:tcPr>
            <w:tcW w:type="dxa" w:w="8504"/>
            <w:shd w:fill="2F5597"/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Ответственность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Бухгалтерия предприятия</w:t>
            </w:r>
          </w:p>
        </w:tc>
        <w:tc>
          <w:tcPr>
            <w:tcW w:type="dxa" w:w="8504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Формирует отчёты по шаблону, отправляет по расписанию, не редактирует XLS вручную, контролирует квитанции</w:t>
            </w:r>
          </w:p>
        </w:tc>
      </w:tr>
      <w:tr>
        <w:tc>
          <w:tcPr>
            <w:tcW w:type="dxa" w:w="2835"/>
            <w:vAlign w:val="center"/>
            <w:shd w:fill="EAF0F8"/>
          </w:tcPr>
          <w:p>
            <w:r/>
            <w:r>
              <w:rPr>
                <w:rFonts w:ascii="Arial" w:hAnsi="Arial"/>
                <w:b w:val="0"/>
                <w:sz w:val="18"/>
              </w:rPr>
              <w:t>Система brain4sales</w:t>
            </w:r>
          </w:p>
        </w:tc>
        <w:tc>
          <w:tcPr>
            <w:tcW w:type="dxa" w:w="8504"/>
            <w:vAlign w:val="center"/>
            <w:shd w:fill="EAF0F8"/>
          </w:tcPr>
          <w:p>
            <w:r/>
            <w:r>
              <w:rPr>
                <w:rFonts w:ascii="Arial" w:hAnsi="Arial"/>
                <w:b w:val="0"/>
                <w:sz w:val="18"/>
              </w:rPr>
              <w:t>Сохраняет оригинал, исключает дубли, проверяет комплект и равенства, версионирует и активирует снимок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Оператор brain4sales</w:t>
            </w:r>
          </w:p>
        </w:tc>
        <w:tc>
          <w:tcPr>
            <w:tcW w:type="dxa" w:w="8504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Контролирует поставки, разбирает карантин, подтверждает существенные изменения, закрывает периоды</w:t>
            </w:r>
          </w:p>
        </w:tc>
      </w:tr>
      <w:tr>
        <w:tc>
          <w:tcPr>
            <w:tcW w:type="dxa" w:w="2835"/>
            <w:vAlign w:val="center"/>
            <w:shd w:fill="EAF0F8"/>
          </w:tcPr>
          <w:p>
            <w:r/>
            <w:r>
              <w:rPr>
                <w:rFonts w:ascii="Arial" w:hAnsi="Arial"/>
                <w:b w:val="0"/>
                <w:sz w:val="18"/>
              </w:rPr>
              <w:t>Ответственный финансист</w:t>
            </w:r>
          </w:p>
        </w:tc>
        <w:tc>
          <w:tcPr>
            <w:tcW w:type="dxa" w:w="8504"/>
            <w:vAlign w:val="center"/>
            <w:shd w:fill="EAF0F8"/>
          </w:tcPr>
          <w:p>
            <w:r/>
            <w:r>
              <w:rPr>
                <w:rFonts w:ascii="Arial" w:hAnsi="Arial"/>
                <w:b w:val="0"/>
                <w:sz w:val="18"/>
              </w:rPr>
              <w:t>Утверждает методики, спорные корректировки и изменения закрытых периодов</w:t>
            </w:r>
          </w:p>
        </w:tc>
      </w:tr>
    </w:tbl>
    <w:p/>
    <w:p>
      <w:pPr>
        <w:pStyle w:val="Heading1"/>
      </w:pPr>
      <w:r>
        <w:t>14. Порядок внедрения</w:t>
      </w:r>
    </w:p>
    <w:p>
      <w:pPr>
        <w:pStyle w:val="Heading2"/>
      </w:pPr>
      <w:r>
        <w:t>Этап 1. Пилот</w:t>
      </w:r>
    </w:p>
    <w:p>
      <w:r>
        <w:t>Подключить три предприятия: небольшое, среднее и предприятие с большим объёмом аналитик 60/62. Проверить размеры файлов, время обработки, варианты форматов 1С и частоту исправлений.</w:t>
      </w:r>
    </w:p>
    <w:p>
      <w:pPr>
        <w:pStyle w:val="Heading2"/>
      </w:pPr>
      <w:r>
        <w:t>Этап 2. Историческая загрузка</w:t>
      </w:r>
    </w:p>
    <w:p>
      <w:pPr>
        <w:pStyle w:val="ListNumber"/>
      </w:pPr>
      <w:r>
        <w:t>зарегистрировать предприятие, ИНН и отправителей;</w:t>
      </w:r>
    </w:p>
    <w:p>
      <w:pPr>
        <w:pStyle w:val="ListNumber"/>
      </w:pPr>
      <w:r>
        <w:t>принять полный 2025 год;</w:t>
      </w:r>
    </w:p>
    <w:p>
      <w:pPr>
        <w:pStyle w:val="ListNumber"/>
      </w:pPr>
      <w:r>
        <w:t>принять 2026 год;</w:t>
      </w:r>
    </w:p>
    <w:p>
      <w:pPr>
        <w:pStyle w:val="ListNumber"/>
      </w:pPr>
      <w:r>
        <w:t>загрузить суточную детализацию;</w:t>
      </w:r>
    </w:p>
    <w:p>
      <w:pPr>
        <w:pStyle w:val="ListNumber"/>
      </w:pPr>
      <w:r>
        <w:t>сверить со сводными ОСВ;</w:t>
      </w:r>
    </w:p>
    <w:p>
      <w:pPr>
        <w:pStyle w:val="ListNumber"/>
      </w:pPr>
      <w:r>
        <w:t>устранить расхождения;</w:t>
      </w:r>
    </w:p>
    <w:p>
      <w:pPr>
        <w:pStyle w:val="ListNumber"/>
      </w:pPr>
      <w:r>
        <w:t>зафиксировать контрольные версии;</w:t>
      </w:r>
    </w:p>
    <w:p>
      <w:pPr>
        <w:pStyle w:val="ListNumber"/>
      </w:pPr>
      <w:r>
        <w:t>только после этого включить предприятие в рейтинг.</w:t>
      </w:r>
    </w:p>
    <w:p>
      <w:pPr>
        <w:pStyle w:val="Heading2"/>
      </w:pPr>
      <w:r>
        <w:t>Этап 3. Волновое подключение</w:t>
      </w:r>
    </w:p>
    <w:p>
      <w:r>
        <w:t>Подключать предприятия группами по 10. Первую неделю вести наблюдение без влияния на общий рейтинг. После успешной месячной сверки переводить в рабочую эксплуатацию.</w:t>
      </w:r>
    </w:p>
    <w:p>
      <w:pPr>
        <w:pStyle w:val="Heading2"/>
      </w:pPr>
      <w:r>
        <w:t>Этап 4. Эксплуатация</w:t>
      </w:r>
    </w:p>
    <w:p>
      <w:pPr>
        <w:pStyle w:val="ListBullet"/>
      </w:pPr>
      <w:r>
        <w:t>ежедневный контроль получения;</w:t>
      </w:r>
    </w:p>
    <w:p>
      <w:pPr>
        <w:pStyle w:val="ListBullet"/>
      </w:pPr>
      <w:r>
        <w:t>еженедельный отчёт по пропускам и ошибкам;</w:t>
      </w:r>
    </w:p>
    <w:p>
      <w:pPr>
        <w:pStyle w:val="ListBullet"/>
      </w:pPr>
      <w:r>
        <w:t>ежемесячное закрытие;</w:t>
      </w:r>
    </w:p>
    <w:p>
      <w:pPr>
        <w:pStyle w:val="ListBullet"/>
      </w:pPr>
      <w:r>
        <w:t>квартальная выборочная проверка;</w:t>
      </w:r>
    </w:p>
    <w:p>
      <w:pPr>
        <w:pStyle w:val="ListBullet"/>
      </w:pPr>
      <w:r>
        <w:t>ежегодная полная сверка.</w:t>
      </w:r>
    </w:p>
    <w:p>
      <w:pPr>
        <w:pStyle w:val="Heading1"/>
      </w:pPr>
      <w:r>
        <w:t>15. Критерии приёмки механизма</w:t>
      </w:r>
    </w:p>
    <w:p>
      <w:pPr>
        <w:pStyle w:val="ListBullet"/>
      </w:pPr>
      <w:r>
        <w:t>Повторное письмо не создаёт повторных данных.</w:t>
      </w:r>
    </w:p>
    <w:p>
      <w:pPr>
        <w:pStyle w:val="ListBullet"/>
      </w:pPr>
      <w:r>
        <w:t>Следующий накопительный пакет восстанавливает пропущенную доставку.</w:t>
      </w:r>
    </w:p>
    <w:p>
      <w:pPr>
        <w:pStyle w:val="ListBullet"/>
      </w:pPr>
      <w:r>
        <w:t>Корректировка прошлой даты создаёт ревизию и не уничтожает историю.</w:t>
      </w:r>
    </w:p>
    <w:p>
      <w:pPr>
        <w:pStyle w:val="ListBullet"/>
      </w:pPr>
      <w:r>
        <w:t>Частичный пакет не смешивается с предыдущими версиями.</w:t>
      </w:r>
    </w:p>
    <w:p>
      <w:pPr>
        <w:pStyle w:val="ListBullet"/>
      </w:pPr>
      <w:r>
        <w:t>Все бухгалтерские равенства проверяются до активации.</w:t>
      </w:r>
    </w:p>
    <w:p>
      <w:pPr>
        <w:pStyle w:val="ListBullet"/>
      </w:pPr>
      <w:r>
        <w:t>Полная сводная ОСВ сходится с деталями до 1 копейки.</w:t>
      </w:r>
    </w:p>
    <w:p>
      <w:pPr>
        <w:pStyle w:val="ListBullet"/>
      </w:pPr>
      <w:r>
        <w:t>Каждая метрика имеет источник, версию и дату данных.</w:t>
      </w:r>
    </w:p>
    <w:p>
      <w:pPr>
        <w:pStyle w:val="ListBullet"/>
      </w:pPr>
      <w:r>
        <w:t>Оператор видит просрочки и ошибки по всем предприятиям.</w:t>
      </w:r>
    </w:p>
    <w:p>
      <w:pPr>
        <w:pStyle w:val="ListBullet"/>
      </w:pPr>
      <w:r>
        <w:t>После рестарта задания восстанавливаются, исходные файлы не теряются.</w:t>
      </w:r>
    </w:p>
    <w:p>
      <w:pPr>
        <w:pStyle w:val="Heading1"/>
      </w:pPr>
      <w:r>
        <w:t>16. Итоговая схема</w:t>
      </w:r>
    </w:p>
    <w:p>
      <w:pPr>
        <w:pStyle w:val="ListNumber"/>
      </w:pPr>
      <w:r>
        <w:t>История загружается отчётами с суточной группировкой, а не сотнями отдельных писем.</w:t>
      </w:r>
    </w:p>
    <w:p>
      <w:pPr>
        <w:pStyle w:val="ListNumber"/>
      </w:pPr>
      <w:r>
        <w:t>Ключевые счета передаются ежедневно накопительно с начала года.</w:t>
      </w:r>
    </w:p>
    <w:p>
      <w:pPr>
        <w:pStyle w:val="ListNumber"/>
      </w:pPr>
      <w:r>
        <w:t>Дополнительные счета передаются еженедельно и при закрытии месяца.</w:t>
      </w:r>
    </w:p>
    <w:p>
      <w:pPr>
        <w:pStyle w:val="ListNumber"/>
      </w:pPr>
      <w:r>
        <w:t>Полная сводная ОСВ передаётся ежемесячно как контрольный снимок.</w:t>
      </w:r>
    </w:p>
    <w:p>
      <w:pPr>
        <w:pStyle w:val="ListNumber"/>
      </w:pPr>
      <w:r>
        <w:t>Все источники неизменно сохраняются и версионируются.</w:t>
      </w:r>
    </w:p>
    <w:p>
      <w:pPr>
        <w:pStyle w:val="ListNumber"/>
      </w:pPr>
      <w:r>
        <w:t>Дубликаты определяются по письму, файлу и нормализованному содержимому.</w:t>
      </w:r>
    </w:p>
    <w:p>
      <w:pPr>
        <w:pStyle w:val="ListNumber"/>
      </w:pPr>
      <w:r>
        <w:t>Метрики активируются только из согласованного снимка.</w:t>
      </w:r>
    </w:p>
    <w:p>
      <w:pPr>
        <w:pStyle w:val="ListNumber"/>
      </w:pPr>
      <w:r>
        <w:t>Пропуски и расхождения контролируются в единой матрице предприятий.</w:t>
      </w:r>
    </w:p>
    <w:sectPr w:rsidR="00FC693F" w:rsidRPr="0006063C" w:rsidSect="00034616">
      <w:footerReference w:type="default" r:id="rId9"/>
      <w:pgSz w:w="12240" w:h="15840"/>
      <w:pgMar w:top="1020" w:right="1020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brain4sales · Регламент загрузки и валидации ОСВ ·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1736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2F559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365F9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color w:val="17365D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