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0D3" w:rsidRPr="004140D3" w:rsidRDefault="004140D3" w:rsidP="004140D3">
      <w:pPr>
        <w:jc w:val="both"/>
        <w:rPr>
          <w:b/>
          <w:sz w:val="24"/>
        </w:rPr>
      </w:pPr>
      <w:r w:rsidRPr="004140D3">
        <w:rPr>
          <w:b/>
          <w:sz w:val="24"/>
        </w:rPr>
        <w:t>1</w:t>
      </w:r>
      <w:r w:rsidRPr="004140D3">
        <w:rPr>
          <w:b/>
          <w:sz w:val="24"/>
        </w:rPr>
        <w:t>. Краткая концепция проекта «</w:t>
      </w:r>
      <w:proofErr w:type="spellStart"/>
      <w:r w:rsidRPr="004140D3">
        <w:rPr>
          <w:b/>
          <w:sz w:val="24"/>
        </w:rPr>
        <w:t>ЭнергоАналог.Поиск</w:t>
      </w:r>
      <w:proofErr w:type="spellEnd"/>
      <w:r w:rsidRPr="004140D3">
        <w:rPr>
          <w:b/>
          <w:sz w:val="24"/>
        </w:rPr>
        <w:t>»</w:t>
      </w:r>
    </w:p>
    <w:p w:rsidR="004140D3" w:rsidRDefault="004140D3" w:rsidP="004140D3">
      <w:pPr>
        <w:jc w:val="both"/>
      </w:pPr>
      <w:r>
        <w:t>Модуль «</w:t>
      </w:r>
      <w:proofErr w:type="spellStart"/>
      <w:r>
        <w:t>ЭнергоАналог.Поиск</w:t>
      </w:r>
      <w:proofErr w:type="spellEnd"/>
      <w:r>
        <w:t xml:space="preserve">» – это специализированный инструмент в составе </w:t>
      </w:r>
      <w:r>
        <w:t>ГИС УЗТЭР</w:t>
      </w:r>
      <w:r>
        <w:t>, представляющий собой структурированную базу данных завершенных или проектируемых объектов теплоэнер</w:t>
      </w:r>
      <w:r>
        <w:t>гетики (котельные, на данном этапе</w:t>
      </w:r>
      <w:r>
        <w:t>).</w:t>
      </w:r>
    </w:p>
    <w:p w:rsidR="004140D3" w:rsidRDefault="004140D3" w:rsidP="004140D3">
      <w:pPr>
        <w:jc w:val="both"/>
      </w:pPr>
      <w:r>
        <w:t>Как это работает:</w:t>
      </w:r>
    </w:p>
    <w:p w:rsidR="004140D3" w:rsidRDefault="004140D3" w:rsidP="004140D3">
      <w:pPr>
        <w:jc w:val="both"/>
      </w:pPr>
      <w:r>
        <w:t>Сотрудники</w:t>
      </w:r>
      <w:r>
        <w:t xml:space="preserve"> наполняют базу карточками объектов на основе данных из ЕГРЗ, включая ключевые ТЭП, ссылки на ССР и положительные заключения МОГЭ. Когда сотруднику ОМСУ или Минэнерго необходимо обосновать НМЦК для новой закупки, он задает фильтры по критериям (мощность, тип объекта, район, дата). Система выдает релевантные объекты-аналоги, позволяет прикрепить их ССР и автоматически формирует расчет НМЦК с применением актуальных индексов пересчета, в строгом соответствии с 44-ФЗ и Приказом Минстроя № 604/пр. </w:t>
      </w:r>
      <w:r w:rsidRPr="004140D3">
        <w:rPr>
          <w:highlight w:val="yellow"/>
        </w:rPr>
        <w:t>Готовый расчет экспортируется в формате, совместимом с ПИК ЕАСУЗ</w:t>
      </w:r>
      <w:r>
        <w:t xml:space="preserve"> (пока не нужно)</w:t>
      </w:r>
      <w:r>
        <w:t>.</w:t>
      </w:r>
    </w:p>
    <w:p w:rsidR="004140D3" w:rsidRDefault="004140D3" w:rsidP="004140D3">
      <w:pPr>
        <w:jc w:val="both"/>
      </w:pPr>
      <w:r>
        <w:t>Эволюция относительно исходного ТЗ:</w:t>
      </w:r>
    </w:p>
    <w:p w:rsidR="004140D3" w:rsidRDefault="004140D3" w:rsidP="004140D3">
      <w:pPr>
        <w:jc w:val="both"/>
      </w:pPr>
      <w:r>
        <w:t>Акцент смещается с прямого "</w:t>
      </w:r>
      <w:proofErr w:type="spellStart"/>
      <w:r>
        <w:t>парсинга</w:t>
      </w:r>
      <w:proofErr w:type="spellEnd"/>
      <w:r>
        <w:t>" ЕГРЗ в реальном времени (</w:t>
      </w:r>
      <w:r>
        <w:t>т.к. мы ограничены технически</w:t>
      </w:r>
      <w:r>
        <w:t>) на работу с качественно накопленной внутренней базой знаний, где данные уже очищены, структурированы по критериям и готовы к мгновенному параметрическому поиску и расчету.</w:t>
      </w:r>
    </w:p>
    <w:p w:rsidR="004140D3" w:rsidRPr="004140D3" w:rsidRDefault="004140D3" w:rsidP="004140D3">
      <w:pPr>
        <w:jc w:val="both"/>
        <w:rPr>
          <w:b/>
          <w:sz w:val="24"/>
        </w:rPr>
      </w:pPr>
      <w:r w:rsidRPr="004140D3">
        <w:rPr>
          <w:b/>
          <w:sz w:val="24"/>
        </w:rPr>
        <w:t>2</w:t>
      </w:r>
      <w:r w:rsidRPr="004140D3">
        <w:rPr>
          <w:b/>
          <w:sz w:val="24"/>
        </w:rPr>
        <w:t>. Ключевая ценность для сотрудников (пользователей)</w:t>
      </w:r>
    </w:p>
    <w:p w:rsidR="004140D3" w:rsidRDefault="004140D3" w:rsidP="004140D3">
      <w:pPr>
        <w:jc w:val="both"/>
      </w:pPr>
      <w:r>
        <w:t>Радикальная экономия времени (с 4 часов до 30 минут):</w:t>
      </w:r>
    </w:p>
    <w:p w:rsidR="004140D3" w:rsidRDefault="004140D3" w:rsidP="004140D3">
      <w:pPr>
        <w:jc w:val="both"/>
      </w:pPr>
      <w:r w:rsidRPr="004140D3">
        <w:t xml:space="preserve">Это не просто «поисковик», а интеллектуальный калькулятор обоснования цены. Модуль выступает единым окном для сотрудников ОМСУ и Минэнерго МО, устраняя необходимость работы в </w:t>
      </w:r>
      <w:proofErr w:type="spellStart"/>
      <w:r w:rsidRPr="004140D3">
        <w:t>Excel</w:t>
      </w:r>
      <w:proofErr w:type="spellEnd"/>
      <w:r w:rsidRPr="004140D3">
        <w:t xml:space="preserve"> и ручного скачивания документов из ЕГРЗ. Система выступает «цифровым ассистентом», который берет на себя рутину (поиск, скачивание, индексация), оставляя за человеком финальную экспертную проверку и утверждение.</w:t>
      </w:r>
      <w:r>
        <w:t xml:space="preserve"> Ликвидация "человеческого фактора" и ошибок:</w:t>
      </w:r>
    </w:p>
    <w:p w:rsidR="004140D3" w:rsidRDefault="004140D3" w:rsidP="004140D3">
      <w:pPr>
        <w:jc w:val="both"/>
      </w:pPr>
      <w:r>
        <w:t>Автоматический перенос данных из ССР в форму расчета и автоматическое применение индексов Минстроя исключают арифметические ошибки и опечатки, которые раньше приводили к замечаниям от контрольно-ревизионных органов.</w:t>
      </w:r>
    </w:p>
    <w:p w:rsidR="004140D3" w:rsidRDefault="004140D3" w:rsidP="004140D3">
      <w:pPr>
        <w:jc w:val="both"/>
      </w:pPr>
      <w:r>
        <w:t>Юридическая и методическая защищенность:</w:t>
      </w:r>
    </w:p>
    <w:p w:rsidR="004140D3" w:rsidRDefault="004140D3" w:rsidP="004140D3">
      <w:pPr>
        <w:jc w:val="both"/>
      </w:pPr>
      <w:r>
        <w:t>Система не просто выдает цифру, а формирует обоснование: "НМЦК рассчитана на основе 3-х объектов-аналогов, прошедших МОГЭ, с сопоставимыми ТЭП и территориальными коэффициентами". Это делает защиту НМЦК перед ФАС или внутренним аудитом максимально прозрачной и убедительной.</w:t>
      </w:r>
    </w:p>
    <w:p w:rsidR="004140D3" w:rsidRDefault="004140D3" w:rsidP="004140D3">
      <w:pPr>
        <w:jc w:val="both"/>
      </w:pPr>
      <w:r>
        <w:t>Снижение когнитивной нагрузки:</w:t>
      </w:r>
    </w:p>
    <w:p w:rsidR="004140D3" w:rsidRDefault="004140D3" w:rsidP="004140D3">
      <w:pPr>
        <w:jc w:val="both"/>
      </w:pPr>
      <w:r>
        <w:t>Вместо необходимости помнить наизусть требования 44-ФЗ и методики ценообразования, сотрудник следует интуитивно понятному интерфейсу (мастеру), который сам подсказывает необходимые шаги и проверяет корректность введенных данных.</w:t>
      </w:r>
    </w:p>
    <w:p w:rsidR="004140D3" w:rsidRPr="004140D3" w:rsidRDefault="004140D3" w:rsidP="004140D3">
      <w:pPr>
        <w:jc w:val="both"/>
        <w:rPr>
          <w:b/>
          <w:sz w:val="24"/>
        </w:rPr>
      </w:pPr>
      <w:r w:rsidRPr="004140D3">
        <w:rPr>
          <w:b/>
          <w:sz w:val="24"/>
        </w:rPr>
        <w:t>3</w:t>
      </w:r>
      <w:r w:rsidRPr="004140D3">
        <w:rPr>
          <w:b/>
          <w:sz w:val="24"/>
        </w:rPr>
        <w:t>. Критерии для определения объектов-аналогов (3–5 ключевых)</w:t>
      </w:r>
    </w:p>
    <w:p w:rsidR="004140D3" w:rsidRDefault="004140D3" w:rsidP="004140D3">
      <w:pPr>
        <w:jc w:val="both"/>
      </w:pPr>
      <w:r>
        <w:t>Для корректного обоснования НМЦК при строительстве или реконструкции котельных и тепловых сетей аналог должен быть сопоставим не только по названию, но и по параметрам, напрямую влияющим на сметную стоимость.</w:t>
      </w:r>
    </w:p>
    <w:p w:rsidR="004140D3" w:rsidRDefault="004140D3" w:rsidP="004140D3">
      <w:pPr>
        <w:jc w:val="both"/>
      </w:pPr>
      <w:r>
        <w:t>Тип объекта и вид работ</w:t>
      </w:r>
    </w:p>
    <w:p w:rsidR="004140D3" w:rsidRDefault="004140D3" w:rsidP="004140D3">
      <w:pPr>
        <w:jc w:val="both"/>
      </w:pPr>
      <w:r>
        <w:lastRenderedPageBreak/>
        <w:t xml:space="preserve">Что учитываем: Новое строительство, реконструкция или техническое перевооружение. Конкретный тип: </w:t>
      </w:r>
      <w:proofErr w:type="spellStart"/>
      <w:r>
        <w:t>блочно</w:t>
      </w:r>
      <w:proofErr w:type="spellEnd"/>
      <w:r>
        <w:t>-модульная котельная (БМК), стационарная газовая/твердотоп</w:t>
      </w:r>
      <w:r>
        <w:t>ливная котельная</w:t>
      </w:r>
    </w:p>
    <w:p w:rsidR="004140D3" w:rsidRDefault="004140D3" w:rsidP="004140D3">
      <w:pPr>
        <w:jc w:val="both"/>
      </w:pPr>
      <w:r>
        <w:t>Почему важно: Реконструкция с сохранением фундамента и сетей всегда дешевле нового строительства; БМК имеет иную структуру затрат (заводская готовность, логистика) по сравнению со стационарной котельной.</w:t>
      </w:r>
    </w:p>
    <w:p w:rsidR="004140D3" w:rsidRDefault="004140D3" w:rsidP="004140D3">
      <w:pPr>
        <w:jc w:val="both"/>
      </w:pPr>
      <w:r>
        <w:t>Основные технико-экономические показатели (ТЭП)</w:t>
      </w:r>
    </w:p>
    <w:p w:rsidR="004140D3" w:rsidRDefault="004140D3" w:rsidP="004140D3">
      <w:pPr>
        <w:jc w:val="both"/>
      </w:pPr>
      <w:r>
        <w:t>Что учитываем: Установленная тепловая мощность (в Гкал/ч или МВт)</w:t>
      </w:r>
      <w:r>
        <w:t>.</w:t>
      </w:r>
    </w:p>
    <w:p w:rsidR="004140D3" w:rsidRDefault="004140D3" w:rsidP="004140D3">
      <w:pPr>
        <w:jc w:val="both"/>
      </w:pPr>
      <w:r>
        <w:t>Почему важно: Это базовый драйвер стоимости. Поиск аналога с мощностью 5 МВт для объекта мощностью 20 МВт приведет к некорректному расчету без применения сложных поправочных коэффициентов.</w:t>
      </w:r>
    </w:p>
    <w:p w:rsidR="004140D3" w:rsidRDefault="004140D3" w:rsidP="004140D3">
      <w:pPr>
        <w:jc w:val="both"/>
      </w:pPr>
      <w:r>
        <w:t>Территориальная принадлежность и природно-климатические условия</w:t>
      </w:r>
    </w:p>
    <w:p w:rsidR="004140D3" w:rsidRDefault="004140D3" w:rsidP="004140D3">
      <w:pPr>
        <w:jc w:val="both"/>
      </w:pPr>
      <w:r>
        <w:t>Что учитываем: Район строительства (в приоритете – Московская область или сопоставимые регионы), тип грунтов, снеговой/ветровой район, сейсмичность.</w:t>
      </w:r>
    </w:p>
    <w:p w:rsidR="004140D3" w:rsidRDefault="004140D3" w:rsidP="004140D3">
      <w:pPr>
        <w:jc w:val="both"/>
      </w:pPr>
      <w:r>
        <w:t>Почему важно: Как мы обсуждали ранее, эти параметры определяют стоимость фундаментов, утепления модулей, марку стали и требования к монтажу. Аналог из южного региона потребует существенной корректировки стоимости для условий Подмосковья.</w:t>
      </w:r>
    </w:p>
    <w:p w:rsidR="004140D3" w:rsidRDefault="004140D3" w:rsidP="004140D3">
      <w:pPr>
        <w:jc w:val="both"/>
      </w:pPr>
      <w:r>
        <w:t>Дата получения положительного заключения экспертизы (МОГЭ)</w:t>
      </w:r>
    </w:p>
    <w:p w:rsidR="004140D3" w:rsidRDefault="004140D3" w:rsidP="004140D3">
      <w:pPr>
        <w:jc w:val="both"/>
      </w:pPr>
      <w:r>
        <w:t>Что учитываем: Квартал и год утверждения сводно-сметного расчета (ССР).</w:t>
      </w:r>
    </w:p>
    <w:p w:rsidR="00BA5A0D" w:rsidRDefault="004140D3" w:rsidP="004140D3">
      <w:pPr>
        <w:jc w:val="both"/>
      </w:pPr>
      <w:r>
        <w:t>Почему важно: Для приведения стоимости аналога к текущему уровню цен система должна автоматически применять индексы изменения сметной стоимости Минстроя РФ. Чем свежее аналог, тем точнее и проще расчет.</w:t>
      </w:r>
    </w:p>
    <w:p w:rsidR="006508C0" w:rsidRPr="006508C0" w:rsidRDefault="006508C0" w:rsidP="006508C0">
      <w:pPr>
        <w:jc w:val="both"/>
        <w:rPr>
          <w:b/>
          <w:sz w:val="24"/>
        </w:rPr>
      </w:pPr>
      <w:r w:rsidRPr="006508C0">
        <w:rPr>
          <w:b/>
          <w:sz w:val="24"/>
        </w:rPr>
        <w:t>4</w:t>
      </w:r>
      <w:r w:rsidRPr="006508C0">
        <w:rPr>
          <w:b/>
          <w:sz w:val="24"/>
        </w:rPr>
        <w:t>. Методология расчета НМЦК методом сопоставимых рыночных цен (аналогов)</w:t>
      </w:r>
    </w:p>
    <w:p w:rsidR="006508C0" w:rsidRDefault="006508C0" w:rsidP="006508C0">
      <w:pPr>
        <w:jc w:val="both"/>
      </w:pPr>
      <w:r>
        <w:t>Основана на ст. 22 44-ФЗ и Приказе Минстроя России (в ТЗ указан № 604/</w:t>
      </w:r>
      <w:proofErr w:type="spellStart"/>
      <w:r>
        <w:t>пр</w:t>
      </w:r>
      <w:proofErr w:type="spellEnd"/>
      <w:r>
        <w:t>, также актуальны принципы перехода на ресурсно-индексный метод).</w:t>
      </w:r>
    </w:p>
    <w:p w:rsidR="006508C0" w:rsidRDefault="006508C0" w:rsidP="006508C0">
      <w:pPr>
        <w:jc w:val="both"/>
      </w:pPr>
      <w:r>
        <w:t>Модуль должен автоматизировать следующие шаги:</w:t>
      </w:r>
    </w:p>
    <w:p w:rsidR="006508C0" w:rsidRDefault="006508C0" w:rsidP="006508C0">
      <w:pPr>
        <w:jc w:val="both"/>
      </w:pPr>
      <w:r>
        <w:t>Отбор объектов-аналогов: Система формирует выборку из минимум 3-х объектов (если доступно меньше, формируется обоснование). Критерии отбора строгие: совпадение типа работ (строительство/реконструкция), сопоставимая мощность (±20-30%), тот же субъект РФ или схожие климатические условия, давность заключения МОГЭ (обычно не старше 1-3 лет).</w:t>
      </w:r>
    </w:p>
    <w:p w:rsidR="006508C0" w:rsidRDefault="006508C0" w:rsidP="006508C0">
      <w:pPr>
        <w:jc w:val="both"/>
      </w:pPr>
      <w:r>
        <w:t xml:space="preserve">Извлечение базовой стоимости: AI/LLM или </w:t>
      </w:r>
      <w:proofErr w:type="spellStart"/>
      <w:r>
        <w:t>парсер</w:t>
      </w:r>
      <w:proofErr w:type="spellEnd"/>
      <w:r>
        <w:t xml:space="preserve"> извлекает из ССР (сводно-сметного расчета) итоговую стоимость или укрупненные показатели стоимости (например, руб./</w:t>
      </w:r>
      <w:proofErr w:type="spellStart"/>
      <w:r>
        <w:t>Гкал·ч</w:t>
      </w:r>
      <w:proofErr w:type="spellEnd"/>
      <w:r>
        <w:t xml:space="preserve"> или руб./</w:t>
      </w:r>
      <w:proofErr w:type="spellStart"/>
      <w:r>
        <w:t>п.м</w:t>
      </w:r>
      <w:proofErr w:type="spellEnd"/>
      <w:r>
        <w:t>. теплосети).</w:t>
      </w:r>
    </w:p>
    <w:p w:rsidR="004140D3" w:rsidRDefault="006508C0" w:rsidP="006508C0">
      <w:pPr>
        <w:jc w:val="both"/>
      </w:pPr>
      <w:r>
        <w:t>Индексация к текущему уровню цен (Ключевой этап): Система автоматически определяет квартал, к которому относится ССР аналога, и применяет официальные индексы изменения сметной стоимости Минстроя РФ для приведения стоимости к текущему (планируемому) кварталу.</w:t>
      </w:r>
    </w:p>
    <w:p w:rsidR="006508C0" w:rsidRDefault="006508C0" w:rsidP="006508C0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тек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аналога</m:t>
            </m:r>
          </m:sub>
        </m:sSub>
        <m:r>
          <w:rPr>
            <w:rFonts w:ascii="Cambria Math" w:hAnsi="Cambria Math"/>
          </w:rPr>
          <m:t>×(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И</m:t>
                </m:r>
              </m:e>
              <m:sub>
                <m:r>
                  <w:rPr>
                    <w:rFonts w:ascii="Cambria Math" w:hAnsi="Cambria Math"/>
                  </w:rPr>
                  <m:t>тек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И</m:t>
                </m:r>
              </m:e>
              <m:sub>
                <m:r>
                  <w:rPr>
                    <w:rFonts w:ascii="Cambria Math" w:hAnsi="Cambria Math"/>
                  </w:rPr>
                  <m:t>аналога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, где:</w:t>
      </w:r>
    </w:p>
    <w:p w:rsidR="006508C0" w:rsidRDefault="006508C0" w:rsidP="006508C0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тек</m:t>
            </m:r>
          </m:sub>
        </m:sSub>
      </m:oMath>
      <w:r>
        <w:rPr>
          <w:rFonts w:eastAsiaTheme="minorEastAsia"/>
        </w:rPr>
        <w:t xml:space="preserve"> - </w:t>
      </w:r>
      <w:r w:rsidRPr="006508C0">
        <w:rPr>
          <w:rFonts w:eastAsiaTheme="minorEastAsia"/>
        </w:rPr>
        <w:t>искомая стоимость объекта-аналога в ценах текущего (планируемого) квартала.</w:t>
      </w:r>
    </w:p>
    <w:p w:rsidR="006508C0" w:rsidRDefault="006508C0" w:rsidP="006508C0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аналога</m:t>
            </m:r>
          </m:sub>
        </m:sSub>
      </m:oMath>
      <w:r>
        <w:rPr>
          <w:rFonts w:eastAsiaTheme="minorEastAsia"/>
        </w:rPr>
        <w:t xml:space="preserve"> - </w:t>
      </w:r>
      <w:r w:rsidRPr="006508C0">
        <w:rPr>
          <w:rFonts w:eastAsiaTheme="minorEastAsia"/>
        </w:rPr>
        <w:t>итоговая стоимость из Сводно-сметного расчета (ССР) объекта-аналога (в ценах того квартала, когда он проходил экспертизу).</w:t>
      </w:r>
    </w:p>
    <w:p w:rsidR="006508C0" w:rsidRDefault="006508C0" w:rsidP="006508C0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И</m:t>
            </m:r>
          </m:e>
          <m:sub>
            <m:r>
              <w:rPr>
                <w:rFonts w:ascii="Cambria Math" w:hAnsi="Cambria Math"/>
              </w:rPr>
              <m:t>тек</m:t>
            </m:r>
          </m:sub>
        </m:sSub>
      </m:oMath>
      <w:r>
        <w:rPr>
          <w:rFonts w:eastAsiaTheme="minorEastAsia"/>
        </w:rPr>
        <w:t xml:space="preserve"> - </w:t>
      </w:r>
      <w:r w:rsidRPr="006508C0">
        <w:rPr>
          <w:rFonts w:eastAsiaTheme="minorEastAsia"/>
        </w:rPr>
        <w:t>водный индекс изменения сметной стоимости строительства, утвержденный Минстроем РФ, на текущий квартал (например, III квартал 2026 года).</w:t>
      </w:r>
    </w:p>
    <w:p w:rsidR="006508C0" w:rsidRDefault="006508C0" w:rsidP="006508C0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И</m:t>
            </m:r>
          </m:e>
          <m:sub>
            <m:r>
              <w:rPr>
                <w:rFonts w:ascii="Cambria Math" w:hAnsi="Cambria Math"/>
              </w:rPr>
              <m:t>аналога</m:t>
            </m:r>
          </m:sub>
        </m:sSub>
      </m:oMath>
      <w:r>
        <w:rPr>
          <w:rFonts w:eastAsiaTheme="minorEastAsia"/>
        </w:rPr>
        <w:t xml:space="preserve"> - </w:t>
      </w:r>
      <w:r w:rsidRPr="006508C0">
        <w:rPr>
          <w:rFonts w:eastAsiaTheme="minorEastAsia"/>
        </w:rPr>
        <w:t>сводный индекс изменения сметной стоимости строительства, утвержденный Минстроем РФ, на тот квартал, к которому относятся цены в ССР аналога (например, I квартал 2025 года).</w:t>
      </w:r>
    </w:p>
    <w:p w:rsidR="006508C0" w:rsidRPr="006508C0" w:rsidRDefault="006508C0" w:rsidP="006508C0">
      <w:pPr>
        <w:jc w:val="both"/>
        <w:rPr>
          <w:rFonts w:eastAsiaTheme="minorEastAsia"/>
        </w:rPr>
      </w:pPr>
      <w:r w:rsidRPr="006508C0">
        <w:rPr>
          <w:rFonts w:eastAsiaTheme="minorEastAsia"/>
        </w:rPr>
        <w:t>Корректировка на отличия (при необходимости): Если аналоги имеют незначительные отличия (например, другой тип грунта или отсутствие диспетчеризации в аналоге), система предлагает применить поправочные коэффициенты из справочника Минстроя или вручную скорректировать статью затрат.</w:t>
      </w:r>
    </w:p>
    <w:p w:rsidR="006508C0" w:rsidRPr="006508C0" w:rsidRDefault="006508C0" w:rsidP="006508C0">
      <w:pPr>
        <w:jc w:val="both"/>
        <w:rPr>
          <w:rFonts w:eastAsiaTheme="minorEastAsia"/>
        </w:rPr>
      </w:pPr>
      <w:r w:rsidRPr="006508C0">
        <w:rPr>
          <w:rFonts w:eastAsiaTheme="minorEastAsia"/>
        </w:rPr>
        <w:t>Расчет средневзвешенной цены: Система вычисляет среднее значение удельной стоимости по всем отобранным проиндексированным аналогам.</w:t>
      </w:r>
    </w:p>
    <w:p w:rsidR="006508C0" w:rsidRDefault="006508C0" w:rsidP="006508C0">
      <w:pPr>
        <w:jc w:val="both"/>
        <w:rPr>
          <w:rFonts w:eastAsiaTheme="minorEastAsia"/>
        </w:rPr>
      </w:pPr>
      <w:r w:rsidRPr="006508C0">
        <w:rPr>
          <w:rFonts w:eastAsiaTheme="minorEastAsia"/>
        </w:rPr>
        <w:t>Формирование итоговой НМЦК: Удельная стоимость умножается на проектный объем новой закупки. Результат формируется в виде готового документа (Обоснование НМЦК) с приложением ссылок на ССР и заключения МОГЭ.</w:t>
      </w:r>
    </w:p>
    <w:p w:rsidR="006508C0" w:rsidRDefault="006508C0" w:rsidP="006508C0">
      <w:pPr>
        <w:jc w:val="both"/>
      </w:pPr>
    </w:p>
    <w:p w:rsidR="006508C0" w:rsidRDefault="006508C0" w:rsidP="006508C0">
      <w:pPr>
        <w:jc w:val="both"/>
      </w:pPr>
      <w:r>
        <w:rPr>
          <w:noProof/>
          <w:lang w:eastAsia="ru-RU"/>
        </w:rPr>
        <w:drawing>
          <wp:inline distT="0" distB="0" distL="0" distR="0">
            <wp:extent cx="5940425" cy="5244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9-25_10-44-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508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4DD"/>
    <w:rsid w:val="004140D3"/>
    <w:rsid w:val="006508C0"/>
    <w:rsid w:val="006D74AA"/>
    <w:rsid w:val="00CA005D"/>
    <w:rsid w:val="00DE6A19"/>
    <w:rsid w:val="00E2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AB784"/>
  <w15:chartTrackingRefBased/>
  <w15:docId w15:val="{F4244BB8-05D2-40CC-BF29-4834D38A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508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4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A769B-0497-4BEB-BF0A-D1F1C8976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980</Words>
  <Characters>5587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Бителев</dc:creator>
  <cp:keywords/>
  <dc:description/>
  <cp:lastModifiedBy>Максим Бителев</cp:lastModifiedBy>
  <cp:revision>2</cp:revision>
  <dcterms:created xsi:type="dcterms:W3CDTF">2026-09-25T07:21:00Z</dcterms:created>
  <dcterms:modified xsi:type="dcterms:W3CDTF">2026-09-25T07:45:00Z</dcterms:modified>
</cp:coreProperties>
</file>